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3" w:rsidRDefault="001044B3" w:rsidP="001044B3">
      <w:pPr>
        <w:pStyle w:val="a3"/>
      </w:pPr>
      <w:r>
        <w:t xml:space="preserve">П А С П О </w:t>
      </w:r>
      <w:proofErr w:type="gramStart"/>
      <w:r>
        <w:t>Р</w:t>
      </w:r>
      <w:proofErr w:type="gramEnd"/>
      <w:r>
        <w:t xml:space="preserve"> Т</w:t>
      </w:r>
    </w:p>
    <w:p w:rsidR="001044B3" w:rsidRDefault="001044B3" w:rsidP="001044B3">
      <w:pPr>
        <w:pStyle w:val="a3"/>
      </w:pPr>
      <w:r>
        <w:t>Инвестиционной площадки</w:t>
      </w:r>
    </w:p>
    <w:p w:rsidR="001044B3" w:rsidRDefault="001044B3" w:rsidP="001044B3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15"/>
        <w:gridCol w:w="5548"/>
      </w:tblGrid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Широта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 w:rsidRPr="00F73D0D">
              <w:t xml:space="preserve">48,473461 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Долгота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Pr="00F73D0D" w:rsidRDefault="001044B3" w:rsidP="00210687">
            <w:pPr>
              <w:pStyle w:val="a4"/>
            </w:pPr>
            <w:r w:rsidRPr="00F73D0D">
              <w:t>44,777057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КРАТКОЕ ОПИСАНИЕ ПЛОЩАДКИ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1.1.Код площадки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0000000000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1.2.Наименование муниципального района, городского округа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proofErr w:type="spellStart"/>
            <w:r>
              <w:t>Светлоярский</w:t>
            </w:r>
            <w:proofErr w:type="spellEnd"/>
            <w:r>
              <w:t xml:space="preserve"> муниципальный район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1.4.Тип площадки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 w:rsidRPr="00D773FD">
              <w:t>Необустроенные площадки/ земля</w:t>
            </w:r>
            <w:r>
              <w:t xml:space="preserve"> 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1.3.Наименование площадки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Инвестиционная площадка для организации стоянки такси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1.5.Назначение площадки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для организации стоянки такси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1.6.Кадастровый номер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Pr="00F73D0D" w:rsidRDefault="001044B3" w:rsidP="00210687">
            <w:pPr>
              <w:pStyle w:val="a4"/>
            </w:pPr>
            <w:r w:rsidRPr="00F73D0D">
              <w:rPr>
                <w:bCs/>
              </w:rPr>
              <w:t>34:26:090201:11070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1.7.Адресные ориентиры площадки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 xml:space="preserve">Волгоградская область, </w:t>
            </w:r>
            <w:proofErr w:type="spellStart"/>
            <w:r>
              <w:t>Светлоярский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Светлый Яр, в 40 м юго-восточнее перекрестка ул. Сидорова с ул. Мелиоративная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 xml:space="preserve">1.8.Расстояние до районного центра,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0км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 xml:space="preserve">1.9.Расстояние до Волгограда,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9,45 км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1.10.Общая площадь, кв. м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143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ИНФОРМАЦИЯ О СОБСТВЕННИКЕ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2.1.Наименование и организационно-правовая форма предприятия (организации)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Администрация Светлоярского муниципального района Волгоградской области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2.2.Почтовый и юридический адрес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 xml:space="preserve">404171, Волгоградская область, </w:t>
            </w:r>
            <w:proofErr w:type="spellStart"/>
            <w:r>
              <w:t>Светлоярский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Светлый Яр, ул. </w:t>
            </w:r>
            <w:proofErr w:type="gramStart"/>
            <w:r>
              <w:t>Спортивная</w:t>
            </w:r>
            <w:proofErr w:type="gramEnd"/>
            <w:r>
              <w:t>, 5</w:t>
            </w:r>
          </w:p>
        </w:tc>
      </w:tr>
      <w:tr w:rsidR="001044B3" w:rsidRP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2.3. Руководитель (Ф.И.О., должность, телефон (с кодом),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rPr>
                <w:lang w:val="en-US"/>
              </w:rPr>
            </w:pPr>
            <w:r>
              <w:t xml:space="preserve">Распутина Татьяна Викторовна – ВРИО Главы Светлоярского муниципального района Волгоградской области, тел. 8(84477)6-21-35, факс 8(84477)6-26-39, </w:t>
            </w:r>
          </w:p>
          <w:p w:rsidR="001044B3" w:rsidRPr="001044B3" w:rsidRDefault="001044B3" w:rsidP="00210687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Pr="001044B3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1044B3">
              <w:rPr>
                <w:lang w:val="en-US"/>
              </w:rPr>
              <w:t>:</w:t>
            </w:r>
            <w:r>
              <w:rPr>
                <w:lang w:val="en-US"/>
              </w:rPr>
              <w:t>ra</w:t>
            </w:r>
            <w:r w:rsidRPr="001044B3">
              <w:rPr>
                <w:lang w:val="en-US"/>
              </w:rPr>
              <w:t>_</w:t>
            </w:r>
            <w:r>
              <w:rPr>
                <w:lang w:val="en-US"/>
              </w:rPr>
              <w:t>svet</w:t>
            </w:r>
            <w:r w:rsidRPr="001044B3">
              <w:rPr>
                <w:lang w:val="en-US"/>
              </w:rPr>
              <w:t>@</w:t>
            </w:r>
            <w:r>
              <w:rPr>
                <w:lang w:val="en-US"/>
              </w:rPr>
              <w:t>volganet</w:t>
            </w:r>
            <w:r w:rsidRPr="001044B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proofErr w:type="spellEnd"/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2.4.Контактное лицо (Ф.И.О., должность, телефон,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Pr="00891EC2" w:rsidRDefault="001044B3" w:rsidP="00210687">
            <w:pPr>
              <w:pStyle w:val="a4"/>
            </w:pPr>
            <w:r>
              <w:t xml:space="preserve">Кушенко Ирина Анатольевна – начальник отдела экономики, развития предпринимательства и защиты прав потребителей администрации Светлоярского муниципального района Волгоградской области, тел. 8(84477)6-95-89, </w:t>
            </w:r>
          </w:p>
          <w:p w:rsidR="001044B3" w:rsidRDefault="001044B3" w:rsidP="0021068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91EC2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econom</w:t>
            </w:r>
            <w:proofErr w:type="spellEnd"/>
            <w:r w:rsidRPr="001044B3">
              <w:t>@</w:t>
            </w:r>
            <w:proofErr w:type="spellStart"/>
            <w:r>
              <w:rPr>
                <w:lang w:val="en-US"/>
              </w:rPr>
              <w:t>svyar</w:t>
            </w:r>
            <w:proofErr w:type="spellEnd"/>
            <w:r w:rsidRPr="001044B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044B3" w:rsidRPr="001044B3" w:rsidRDefault="001044B3" w:rsidP="00210687">
            <w:pPr>
              <w:pStyle w:val="a4"/>
            </w:pPr>
            <w:bookmarkStart w:id="0" w:name="_GoBack"/>
            <w:bookmarkEnd w:id="0"/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lastRenderedPageBreak/>
              <w:t>2.5 Форма собственности участка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Муниципальная собственность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ЗЕМЛЯ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3.1.Категория земель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Земли населённых пунктов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3.2.Вид разрешенного использования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для организации стоянки такси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3.3.Фактическое использование земельного участка, обременения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для организации стоянки такси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3.4.Ограничения использования земельного участка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отсутствуют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3.5.Условия предоставления участка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Аренда/собственность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3.6.Наличие документов по планировке территории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отсутствуют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 xml:space="preserve">3.7. Реализуемые </w:t>
            </w:r>
            <w:proofErr w:type="spellStart"/>
            <w:r>
              <w:t>инвестпроекты</w:t>
            </w:r>
            <w:proofErr w:type="spellEnd"/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1. Автомобильные дороги с твердым покрытием (асфальтобетон, бетон)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1.1. Близость к автомагистрали, наименование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 w:rsidRPr="002E7D57">
              <w:t>Федеральная автомобильная дорога Р-22 «Каспий»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 xml:space="preserve">1.2 Близость к автомагистрали, </w:t>
            </w:r>
            <w:proofErr w:type="gramStart"/>
            <w:r>
              <w:t>км</w:t>
            </w:r>
            <w:proofErr w:type="gramEnd"/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1,53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1.3 Наличие внутренних автодорог, ширина, метров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отсутствуют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2. Железнодорожное сообщение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2.1 Наличие железнодорожного сообщения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нет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2.2 Наименование ближайшей ж/д станции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 xml:space="preserve">2.3 Расстояние до ближайшей ж/д станции,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2.4 Наличие грузовых терминалов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2.5 Подъездной путь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нет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 xml:space="preserve">2.6 Расстояние до подъездного пути, </w:t>
            </w:r>
            <w:proofErr w:type="gramStart"/>
            <w:r>
              <w:t>км</w:t>
            </w:r>
            <w:proofErr w:type="gramEnd"/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3. Организация водных перевозок с территории площадки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3.1 Возможность отгрузки водным транспортом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нет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 xml:space="preserve">4. Расстояние до аэропорта, </w:t>
            </w:r>
            <w:proofErr w:type="gramStart"/>
            <w:r>
              <w:t>км</w:t>
            </w:r>
            <w:proofErr w:type="gramEnd"/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 xml:space="preserve">4.1 Расстояние до аэропорта, </w:t>
            </w:r>
            <w:proofErr w:type="gramStart"/>
            <w:r>
              <w:t>км</w:t>
            </w:r>
            <w:proofErr w:type="gramEnd"/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47,29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1. Объекты питьевого водоснабжения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1.1 Тип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нет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lastRenderedPageBreak/>
              <w:t>1.2 Мощность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1.3 Расстояние до магистрали, метров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2. Объекты технического водоснабжения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2.1 Тип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есть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2.2 Мощность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2.3 Расстояние до магистрали, метров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3. Канализация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3.1 Тип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есть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3.2 Мощность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3.3 Расстояние до магистрали и очистных сооружений, метров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4. Объекты электроснабжения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4.1 Тип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да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4.2 Мощность (мВт)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4.3 Расстояние до магистрали, метров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30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5. Объекты газоснабжения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5.1 Тип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есть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5.2 Мощность (кгс/</w:t>
            </w:r>
            <w:proofErr w:type="gramStart"/>
            <w:r>
              <w:t>см</w:t>
            </w:r>
            <w:proofErr w:type="gramEnd"/>
            <w:r>
              <w:t>?; МПа)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5.3 Расстояние до магистрали, метров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30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6. Объекты теплоснабжения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6.1 Тип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есть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6.2 Мощность (Гкал)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6.3 Расстояние до магистрали и источника, метров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7. Близость телекоммуникаций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7.1 Телефон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Есть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7.2 Интернет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есть</w:t>
            </w:r>
          </w:p>
        </w:tc>
      </w:tr>
      <w:tr w:rsidR="001044B3" w:rsidTr="001044B3">
        <w:tc>
          <w:tcPr>
            <w:tcW w:w="9463" w:type="dxa"/>
            <w:gridSpan w:val="2"/>
            <w:shd w:val="clear" w:color="auto" w:fill="auto"/>
            <w:vAlign w:val="center"/>
          </w:tcPr>
          <w:p w:rsidR="001044B3" w:rsidRDefault="001044B3" w:rsidP="00210687">
            <w:pPr>
              <w:pStyle w:val="a4"/>
              <w:shd w:val="pct15" w:color="auto" w:fill="auto"/>
              <w:jc w:val="center"/>
            </w:pPr>
            <w:r>
              <w:t>8. Полигон для размещения бытовых, промышленных и производственных отходов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8.1 Тип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8.2 Мощность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8.3 Расстояние до полигона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  <w:tr w:rsidR="001044B3" w:rsidTr="001044B3">
        <w:tc>
          <w:tcPr>
            <w:tcW w:w="3915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8.4 Возможность и условия дополнительного размещения отходов</w:t>
            </w:r>
          </w:p>
        </w:tc>
        <w:tc>
          <w:tcPr>
            <w:tcW w:w="5548" w:type="dxa"/>
            <w:shd w:val="clear" w:color="auto" w:fill="auto"/>
            <w:vAlign w:val="center"/>
          </w:tcPr>
          <w:p w:rsidR="001044B3" w:rsidRDefault="001044B3" w:rsidP="00210687">
            <w:pPr>
              <w:pStyle w:val="a4"/>
            </w:pPr>
            <w:r>
              <w:t>-</w:t>
            </w:r>
          </w:p>
        </w:tc>
      </w:tr>
    </w:tbl>
    <w:p w:rsidR="0000169C" w:rsidRDefault="0000169C"/>
    <w:sectPr w:rsidR="0000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81"/>
    <w:rsid w:val="0000169C"/>
    <w:rsid w:val="001044B3"/>
    <w:rsid w:val="00CA452F"/>
    <w:rsid w:val="00E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тчета"/>
    <w:basedOn w:val="a"/>
    <w:rsid w:val="001044B3"/>
    <w:pPr>
      <w:jc w:val="center"/>
    </w:pPr>
    <w:rPr>
      <w:b/>
      <w:sz w:val="28"/>
      <w:szCs w:val="28"/>
    </w:rPr>
  </w:style>
  <w:style w:type="paragraph" w:customStyle="1" w:styleId="a4">
    <w:name w:val="Обычный (паспорт)"/>
    <w:basedOn w:val="a"/>
    <w:rsid w:val="001044B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тчета"/>
    <w:basedOn w:val="a"/>
    <w:rsid w:val="001044B3"/>
    <w:pPr>
      <w:jc w:val="center"/>
    </w:pPr>
    <w:rPr>
      <w:b/>
      <w:sz w:val="28"/>
      <w:szCs w:val="28"/>
    </w:rPr>
  </w:style>
  <w:style w:type="paragraph" w:customStyle="1" w:styleId="a4">
    <w:name w:val="Обычный (паспорт)"/>
    <w:basedOn w:val="a"/>
    <w:rsid w:val="001044B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>Krokoz™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2</cp:revision>
  <dcterms:created xsi:type="dcterms:W3CDTF">2017-08-25T08:22:00Z</dcterms:created>
  <dcterms:modified xsi:type="dcterms:W3CDTF">2017-08-25T08:23:00Z</dcterms:modified>
</cp:coreProperties>
</file>