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>
        <w:rPr>
          <w:rFonts w:ascii="Arial" w:hAnsi="Arial"/>
          <w:b/>
          <w:bCs/>
          <w:sz w:val="26"/>
          <w:szCs w:val="26"/>
          <w:lang w:val="ru-RU"/>
        </w:rPr>
        <w:t xml:space="preserve"> № 2 от ПС «Новая» (введен в эксплуатацию 1980 г).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</w:t>
      </w:r>
      <w:bookmarkStart w:id="0" w:name="_GoBack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ненск</w:t>
      </w:r>
      <w:bookmarkEnd w:id="0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3B6EE6" w:rsidRPr="00D30D8C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34:26:010201:259, 34:26:010201:257, 34:26:000000:2559, 34:26:010107:32, 34:26:010107:33, 34:26:10106:17,</w:t>
      </w:r>
      <w:r w:rsidR="00252213" w:rsidRPr="00252213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34:26:10106:19.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2020-03-24T04:04:00Z</dcterms:created>
  <dcterms:modified xsi:type="dcterms:W3CDTF">2020-03-24T06:52:00Z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