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88592242" w:edGrp="everyone"/>
      <w:r w:rsidR="00427E3A">
        <w:rPr>
          <w:rFonts w:ascii="Arial" w:hAnsi="Arial" w:cs="Arial"/>
          <w:sz w:val="24"/>
          <w:szCs w:val="24"/>
        </w:rPr>
        <w:t>11</w:t>
      </w:r>
      <w:r w:rsidR="00A72B08">
        <w:rPr>
          <w:rFonts w:ascii="Arial" w:hAnsi="Arial" w:cs="Arial"/>
          <w:sz w:val="24"/>
          <w:szCs w:val="24"/>
        </w:rPr>
        <w:t>.</w:t>
      </w:r>
      <w:r w:rsidR="00427E3A">
        <w:rPr>
          <w:rFonts w:ascii="Arial" w:hAnsi="Arial" w:cs="Arial"/>
          <w:sz w:val="24"/>
          <w:szCs w:val="24"/>
        </w:rPr>
        <w:t>01</w:t>
      </w:r>
      <w:r w:rsidR="00A72B08">
        <w:rPr>
          <w:rFonts w:ascii="Arial" w:hAnsi="Arial" w:cs="Arial"/>
          <w:sz w:val="24"/>
          <w:szCs w:val="24"/>
        </w:rPr>
        <w:t>.</w:t>
      </w:r>
      <w:permEnd w:id="1188592242"/>
      <w:r w:rsidRPr="00682E47">
        <w:rPr>
          <w:rFonts w:ascii="Arial" w:hAnsi="Arial" w:cs="Arial"/>
          <w:sz w:val="24"/>
          <w:szCs w:val="24"/>
        </w:rPr>
        <w:t>202</w:t>
      </w:r>
      <w:permStart w:id="1322352410" w:edGrp="everyone"/>
      <w:r w:rsidR="00427E3A">
        <w:rPr>
          <w:rFonts w:ascii="Arial" w:hAnsi="Arial" w:cs="Arial"/>
          <w:sz w:val="24"/>
          <w:szCs w:val="24"/>
        </w:rPr>
        <w:t>4</w:t>
      </w:r>
      <w:permEnd w:id="132235241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450323152" w:edGrp="everyone"/>
      <w:r w:rsidR="00427E3A">
        <w:rPr>
          <w:rFonts w:ascii="Arial" w:hAnsi="Arial" w:cs="Arial"/>
          <w:sz w:val="24"/>
          <w:szCs w:val="24"/>
        </w:rPr>
        <w:t>4</w:t>
      </w:r>
      <w:permEnd w:id="450323152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427E3A" w:rsidRDefault="00427E3A" w:rsidP="00427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ermStart w:id="1165516127" w:edGrp="everyone"/>
            <w:r w:rsidRPr="004C0EB6">
              <w:rPr>
                <w:rFonts w:ascii="Arial" w:hAnsi="Arial" w:cs="Arial"/>
                <w:sz w:val="24"/>
              </w:rPr>
              <w:t>Об утверждении графика предоста</w:t>
            </w:r>
            <w:r w:rsidRPr="004C0EB6">
              <w:rPr>
                <w:rFonts w:ascii="Arial" w:hAnsi="Arial" w:cs="Arial"/>
                <w:sz w:val="24"/>
              </w:rPr>
              <w:t>в</w:t>
            </w:r>
            <w:r w:rsidRPr="004C0EB6">
              <w:rPr>
                <w:rFonts w:ascii="Arial" w:hAnsi="Arial" w:cs="Arial"/>
                <w:sz w:val="24"/>
              </w:rPr>
              <w:t>ления годовой бюджетной, бухгалте</w:t>
            </w:r>
            <w:r w:rsidRPr="004C0EB6">
              <w:rPr>
                <w:rFonts w:ascii="Arial" w:hAnsi="Arial" w:cs="Arial"/>
                <w:sz w:val="24"/>
              </w:rPr>
              <w:t>р</w:t>
            </w:r>
            <w:r w:rsidRPr="004C0EB6">
              <w:rPr>
                <w:rFonts w:ascii="Arial" w:hAnsi="Arial" w:cs="Arial"/>
                <w:sz w:val="24"/>
              </w:rPr>
              <w:t>ской отчетности за 2023 год</w:t>
            </w:r>
            <w:r w:rsidRPr="009D14FD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4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427E3A" w:rsidRDefault="00427E3A" w:rsidP="00044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427E3A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>В соответствии с Инструкцией о порядке составления и предоставления годовой, квартальной и месячной отчетности об исполнении бюджетов бюдже</w:t>
      </w:r>
      <w:r w:rsidRPr="004C0EB6">
        <w:rPr>
          <w:rFonts w:ascii="Arial" w:hAnsi="Arial" w:cs="Arial"/>
          <w:sz w:val="24"/>
          <w:szCs w:val="24"/>
        </w:rPr>
        <w:t>т</w:t>
      </w:r>
      <w:r w:rsidRPr="004C0EB6">
        <w:rPr>
          <w:rFonts w:ascii="Arial" w:hAnsi="Arial" w:cs="Arial"/>
          <w:sz w:val="24"/>
          <w:szCs w:val="24"/>
        </w:rPr>
        <w:t>ной системы РФ, утвержденной приказом Министерства финансов РФ от 28.12.2010 № 191н, Инструкцией о порядке составления, представления год</w:t>
      </w:r>
      <w:r w:rsidRPr="004C0EB6">
        <w:rPr>
          <w:rFonts w:ascii="Arial" w:hAnsi="Arial" w:cs="Arial"/>
          <w:sz w:val="24"/>
          <w:szCs w:val="24"/>
        </w:rPr>
        <w:t>о</w:t>
      </w:r>
      <w:r w:rsidRPr="004C0EB6">
        <w:rPr>
          <w:rFonts w:ascii="Arial" w:hAnsi="Arial" w:cs="Arial"/>
          <w:sz w:val="24"/>
          <w:szCs w:val="24"/>
        </w:rPr>
        <w:t>вой, ква</w:t>
      </w:r>
      <w:r w:rsidRPr="004C0EB6">
        <w:rPr>
          <w:rFonts w:ascii="Arial" w:hAnsi="Arial" w:cs="Arial"/>
          <w:sz w:val="24"/>
          <w:szCs w:val="24"/>
        </w:rPr>
        <w:t>р</w:t>
      </w:r>
      <w:r w:rsidRPr="004C0EB6">
        <w:rPr>
          <w:rFonts w:ascii="Arial" w:hAnsi="Arial" w:cs="Arial"/>
          <w:sz w:val="24"/>
          <w:szCs w:val="24"/>
        </w:rPr>
        <w:t>тальной бухгалтерской отчетности государственных (муниципальных) бюдже</w:t>
      </w:r>
      <w:r w:rsidRPr="004C0EB6">
        <w:rPr>
          <w:rFonts w:ascii="Arial" w:hAnsi="Arial" w:cs="Arial"/>
          <w:sz w:val="24"/>
          <w:szCs w:val="24"/>
        </w:rPr>
        <w:t>т</w:t>
      </w:r>
      <w:r w:rsidRPr="004C0EB6">
        <w:rPr>
          <w:rFonts w:ascii="Arial" w:hAnsi="Arial" w:cs="Arial"/>
          <w:sz w:val="24"/>
          <w:szCs w:val="24"/>
        </w:rPr>
        <w:t>ных и автономных учреждений, утвержденной приказом Министерства финансов РФ от 25.03.2011 № 33н, Порядком составления и представления бюджетной отчетности финансовыми органами городского и сельских посел</w:t>
      </w:r>
      <w:r w:rsidRPr="004C0EB6">
        <w:rPr>
          <w:rFonts w:ascii="Arial" w:hAnsi="Arial" w:cs="Arial"/>
          <w:sz w:val="24"/>
          <w:szCs w:val="24"/>
        </w:rPr>
        <w:t>е</w:t>
      </w:r>
      <w:r w:rsidRPr="004C0EB6">
        <w:rPr>
          <w:rFonts w:ascii="Arial" w:hAnsi="Arial" w:cs="Arial"/>
          <w:sz w:val="24"/>
          <w:szCs w:val="24"/>
        </w:rPr>
        <w:t>ний Све</w:t>
      </w:r>
      <w:r w:rsidRPr="004C0EB6">
        <w:rPr>
          <w:rFonts w:ascii="Arial" w:hAnsi="Arial" w:cs="Arial"/>
          <w:sz w:val="24"/>
          <w:szCs w:val="24"/>
        </w:rPr>
        <w:t>т</w:t>
      </w:r>
      <w:r w:rsidRPr="004C0EB6">
        <w:rPr>
          <w:rFonts w:ascii="Arial" w:hAnsi="Arial" w:cs="Arial"/>
          <w:sz w:val="24"/>
          <w:szCs w:val="24"/>
        </w:rPr>
        <w:t>лоярского муниципального района Волгоградской области, главными распор</w:t>
      </w:r>
      <w:r w:rsidRPr="004C0EB6">
        <w:rPr>
          <w:rFonts w:ascii="Arial" w:hAnsi="Arial" w:cs="Arial"/>
          <w:sz w:val="24"/>
          <w:szCs w:val="24"/>
        </w:rPr>
        <w:t>я</w:t>
      </w:r>
      <w:r w:rsidRPr="004C0EB6">
        <w:rPr>
          <w:rFonts w:ascii="Arial" w:hAnsi="Arial" w:cs="Arial"/>
          <w:sz w:val="24"/>
          <w:szCs w:val="24"/>
        </w:rPr>
        <w:t>дителями бюджетных средств Светлоярского муниципального района Волгоградской области, главными администраторами доходов бюджета Све</w:t>
      </w:r>
      <w:r w:rsidRPr="004C0EB6">
        <w:rPr>
          <w:rFonts w:ascii="Arial" w:hAnsi="Arial" w:cs="Arial"/>
          <w:sz w:val="24"/>
          <w:szCs w:val="24"/>
        </w:rPr>
        <w:t>т</w:t>
      </w:r>
      <w:r w:rsidRPr="004C0EB6">
        <w:rPr>
          <w:rFonts w:ascii="Arial" w:hAnsi="Arial" w:cs="Arial"/>
          <w:sz w:val="24"/>
          <w:szCs w:val="24"/>
        </w:rPr>
        <w:t>лоярского муниципального района Волгоградской области, главными админ</w:t>
      </w:r>
      <w:r w:rsidRPr="004C0EB6">
        <w:rPr>
          <w:rFonts w:ascii="Arial" w:hAnsi="Arial" w:cs="Arial"/>
          <w:sz w:val="24"/>
          <w:szCs w:val="24"/>
        </w:rPr>
        <w:t>и</w:t>
      </w:r>
      <w:r w:rsidRPr="004C0EB6">
        <w:rPr>
          <w:rFonts w:ascii="Arial" w:hAnsi="Arial" w:cs="Arial"/>
          <w:sz w:val="24"/>
          <w:szCs w:val="24"/>
        </w:rPr>
        <w:t>страторами источников финансирования дефицита бюджета Светлоярского м</w:t>
      </w:r>
      <w:r w:rsidRPr="004C0EB6">
        <w:rPr>
          <w:rFonts w:ascii="Arial" w:hAnsi="Arial" w:cs="Arial"/>
          <w:sz w:val="24"/>
          <w:szCs w:val="24"/>
        </w:rPr>
        <w:t>у</w:t>
      </w:r>
      <w:r w:rsidRPr="004C0EB6">
        <w:rPr>
          <w:rFonts w:ascii="Arial" w:hAnsi="Arial" w:cs="Arial"/>
          <w:sz w:val="24"/>
          <w:szCs w:val="24"/>
        </w:rPr>
        <w:t>ниц</w:t>
      </w:r>
      <w:r w:rsidRPr="004C0EB6">
        <w:rPr>
          <w:rFonts w:ascii="Arial" w:hAnsi="Arial" w:cs="Arial"/>
          <w:sz w:val="24"/>
          <w:szCs w:val="24"/>
        </w:rPr>
        <w:t>и</w:t>
      </w:r>
      <w:r w:rsidRPr="004C0EB6">
        <w:rPr>
          <w:rFonts w:ascii="Arial" w:hAnsi="Arial" w:cs="Arial"/>
          <w:sz w:val="24"/>
          <w:szCs w:val="24"/>
        </w:rPr>
        <w:t>пального района Волгоградской области, утвержденным постановлением адм</w:t>
      </w:r>
      <w:r w:rsidRPr="004C0EB6">
        <w:rPr>
          <w:rFonts w:ascii="Arial" w:hAnsi="Arial" w:cs="Arial"/>
          <w:sz w:val="24"/>
          <w:szCs w:val="24"/>
        </w:rPr>
        <w:t>и</w:t>
      </w:r>
      <w:r w:rsidRPr="004C0EB6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от 26.04.2021 № 680, Порядком составления, представления годовой, ква</w:t>
      </w:r>
      <w:r w:rsidRPr="004C0EB6">
        <w:rPr>
          <w:rFonts w:ascii="Arial" w:hAnsi="Arial" w:cs="Arial"/>
          <w:sz w:val="24"/>
          <w:szCs w:val="24"/>
        </w:rPr>
        <w:t>р</w:t>
      </w:r>
      <w:r w:rsidRPr="004C0EB6">
        <w:rPr>
          <w:rFonts w:ascii="Arial" w:hAnsi="Arial" w:cs="Arial"/>
          <w:sz w:val="24"/>
          <w:szCs w:val="24"/>
        </w:rPr>
        <w:t>тальной, бухгалтерской отчетности муниципальных бюджетных (автономных) учреждений Светлоярского муниципального района Волгоградской области, утве</w:t>
      </w:r>
      <w:r w:rsidRPr="004C0EB6">
        <w:rPr>
          <w:rFonts w:ascii="Arial" w:hAnsi="Arial" w:cs="Arial"/>
          <w:sz w:val="24"/>
          <w:szCs w:val="24"/>
        </w:rPr>
        <w:t>р</w:t>
      </w:r>
      <w:r w:rsidRPr="004C0EB6">
        <w:rPr>
          <w:rFonts w:ascii="Arial" w:hAnsi="Arial" w:cs="Arial"/>
          <w:sz w:val="24"/>
          <w:szCs w:val="24"/>
        </w:rPr>
        <w:t>жденным постановлением администрации Светлоярского муниципального ра</w:t>
      </w:r>
      <w:r w:rsidRPr="004C0EB6">
        <w:rPr>
          <w:rFonts w:ascii="Arial" w:hAnsi="Arial" w:cs="Arial"/>
          <w:sz w:val="24"/>
          <w:szCs w:val="24"/>
        </w:rPr>
        <w:t>й</w:t>
      </w:r>
      <w:r w:rsidRPr="004C0EB6">
        <w:rPr>
          <w:rFonts w:ascii="Arial" w:hAnsi="Arial" w:cs="Arial"/>
          <w:sz w:val="24"/>
          <w:szCs w:val="24"/>
        </w:rPr>
        <w:t>она Волгоградской области от 08.06.2021 № 985, руководствуясь Уставом Светлоярского муниципального района Волгоградской области, Уставом Све</w:t>
      </w:r>
      <w:r w:rsidRPr="004C0EB6">
        <w:rPr>
          <w:rFonts w:ascii="Arial" w:hAnsi="Arial" w:cs="Arial"/>
          <w:sz w:val="24"/>
          <w:szCs w:val="24"/>
        </w:rPr>
        <w:t>т</w:t>
      </w:r>
      <w:r w:rsidRPr="004C0EB6">
        <w:rPr>
          <w:rFonts w:ascii="Arial" w:hAnsi="Arial" w:cs="Arial"/>
          <w:sz w:val="24"/>
          <w:szCs w:val="24"/>
        </w:rPr>
        <w:t>лоярского городского поселения Светлоярского муниципального района Волг</w:t>
      </w:r>
      <w:r w:rsidRPr="004C0EB6">
        <w:rPr>
          <w:rFonts w:ascii="Arial" w:hAnsi="Arial" w:cs="Arial"/>
          <w:sz w:val="24"/>
          <w:szCs w:val="24"/>
        </w:rPr>
        <w:t>о</w:t>
      </w:r>
      <w:r w:rsidRPr="004C0EB6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>1. Утвердить график предоставления годовой бюджетной, бухгалтерской отчетности за 2023 год (прилагается).</w:t>
      </w:r>
    </w:p>
    <w:p w:rsidR="00427E3A" w:rsidRPr="004C0EB6" w:rsidRDefault="00427E3A" w:rsidP="00427E3A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427E3A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>2. Отделу бюджетно-финансовой политики администрации 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>го муниципального района Волгоградской области (Подхватилина О.И.) довести настоящее постановление до финансовых органов городского (сельских) пос</w:t>
      </w:r>
      <w:r w:rsidRPr="004C0EB6">
        <w:rPr>
          <w:rFonts w:ascii="Arial" w:hAnsi="Arial" w:cs="Arial"/>
          <w:color w:val="000000"/>
          <w:sz w:val="24"/>
          <w:szCs w:val="24"/>
        </w:rPr>
        <w:t>е</w:t>
      </w:r>
      <w:r w:rsidRPr="004C0EB6">
        <w:rPr>
          <w:rFonts w:ascii="Arial" w:hAnsi="Arial" w:cs="Arial"/>
          <w:color w:val="000000"/>
          <w:sz w:val="24"/>
          <w:szCs w:val="24"/>
        </w:rPr>
        <w:lastRenderedPageBreak/>
        <w:t>лений, главных распорядителей бюджетных средств и получателей бюджетных средств Светлоярского муниципального района Волгоградской области.</w:t>
      </w:r>
    </w:p>
    <w:p w:rsidR="00427E3A" w:rsidRPr="004C0EB6" w:rsidRDefault="00427E3A" w:rsidP="00427E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427E3A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>3. Отделу бюджетно-финансовой политики администрации Светлоярск</w:t>
      </w:r>
      <w:r w:rsidRPr="004C0EB6">
        <w:rPr>
          <w:rFonts w:ascii="Arial" w:hAnsi="Arial" w:cs="Arial"/>
          <w:color w:val="000000"/>
          <w:sz w:val="24"/>
          <w:szCs w:val="24"/>
        </w:rPr>
        <w:t>о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Волгоградской области (Коптева Е.Н.) разместить настоящее постановление на финансовом портале </w:t>
      </w:r>
      <w:r w:rsidRPr="004C0EB6">
        <w:rPr>
          <w:rFonts w:ascii="Arial" w:hAnsi="Arial" w:cs="Arial"/>
          <w:sz w:val="24"/>
          <w:szCs w:val="24"/>
        </w:rPr>
        <w:t>официального сайта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 Све</w:t>
      </w:r>
      <w:r w:rsidRPr="004C0EB6">
        <w:rPr>
          <w:rFonts w:ascii="Arial" w:hAnsi="Arial" w:cs="Arial"/>
          <w:color w:val="000000"/>
          <w:sz w:val="24"/>
          <w:szCs w:val="24"/>
        </w:rPr>
        <w:t>т</w:t>
      </w:r>
      <w:r w:rsidRPr="004C0EB6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427E3A" w:rsidRPr="009D14FD" w:rsidRDefault="00427E3A" w:rsidP="00427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D14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</w:t>
      </w:r>
      <w:r w:rsidRPr="009D14FD">
        <w:rPr>
          <w:rFonts w:ascii="Arial" w:hAnsi="Arial" w:cs="Arial"/>
          <w:sz w:val="24"/>
          <w:szCs w:val="24"/>
        </w:rPr>
        <w:t xml:space="preserve">заместителя главы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Подхватилину О.И.</w:t>
      </w: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 муниципального района                                                                В.В.Фадеев</w:t>
      </w: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ermEnd w:id="1165516127"/>
    <w:p w:rsidR="00796543" w:rsidRPr="005D034A" w:rsidRDefault="00796543" w:rsidP="00427E3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D6" w:rsidRDefault="00C923D6" w:rsidP="00B87C1B">
      <w:pPr>
        <w:spacing w:after="0" w:line="240" w:lineRule="auto"/>
      </w:pPr>
      <w:r>
        <w:separator/>
      </w:r>
    </w:p>
  </w:endnote>
  <w:endnote w:type="continuationSeparator" w:id="0">
    <w:p w:rsidR="00C923D6" w:rsidRDefault="00C923D6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D6" w:rsidRDefault="00C923D6" w:rsidP="00B87C1B">
      <w:pPr>
        <w:spacing w:after="0" w:line="240" w:lineRule="auto"/>
      </w:pPr>
      <w:r>
        <w:separator/>
      </w:r>
    </w:p>
  </w:footnote>
  <w:footnote w:type="continuationSeparator" w:id="0">
    <w:p w:rsidR="00C923D6" w:rsidRDefault="00C923D6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427E3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9315-DE14-4C43-801A-23CBBFF7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2023-11-29T12:18:00Z</cp:lastPrinted>
  <dcterms:created xsi:type="dcterms:W3CDTF">2024-01-19T12:17:00Z</dcterms:created>
  <dcterms:modified xsi:type="dcterms:W3CDTF">2024-01-19T12:17:00Z</dcterms:modified>
</cp:coreProperties>
</file>