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664355631" w:edGrp="everyone"/>
      <w:r w:rsidR="004A3A0A">
        <w:rPr>
          <w:rFonts w:ascii="Arial" w:hAnsi="Arial" w:cs="Arial"/>
          <w:sz w:val="24"/>
          <w:szCs w:val="24"/>
        </w:rPr>
        <w:t>20.02.</w:t>
      </w:r>
      <w:permEnd w:id="664355631"/>
      <w:r w:rsidRPr="00682E47">
        <w:rPr>
          <w:rFonts w:ascii="Arial" w:hAnsi="Arial" w:cs="Arial"/>
          <w:sz w:val="24"/>
          <w:szCs w:val="24"/>
        </w:rPr>
        <w:t>202</w:t>
      </w:r>
      <w:permStart w:id="1958174528" w:edGrp="everyone"/>
      <w:r w:rsidR="00427E3A">
        <w:rPr>
          <w:rFonts w:ascii="Arial" w:hAnsi="Arial" w:cs="Arial"/>
          <w:sz w:val="24"/>
          <w:szCs w:val="24"/>
        </w:rPr>
        <w:t>4</w:t>
      </w:r>
      <w:permEnd w:id="195817452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716204960" w:edGrp="everyone"/>
      <w:r w:rsidR="004A3A0A">
        <w:rPr>
          <w:rFonts w:ascii="Arial" w:hAnsi="Arial" w:cs="Arial"/>
          <w:sz w:val="24"/>
          <w:szCs w:val="24"/>
        </w:rPr>
        <w:t>210</w:t>
      </w:r>
      <w:permEnd w:id="716204960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427E3A" w:rsidTr="008877AB">
        <w:tc>
          <w:tcPr>
            <w:tcW w:w="4503" w:type="dxa"/>
          </w:tcPr>
          <w:p w:rsidR="008877AB" w:rsidRPr="009C6042" w:rsidRDefault="008877AB" w:rsidP="00887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00189767" w:edGrp="everyone"/>
            <w:r w:rsidRPr="009C6042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распределения иных межбюджетных трансфертов, </w:t>
            </w:r>
            <w:r w:rsidRPr="009C6042">
              <w:rPr>
                <w:rFonts w:ascii="Arial" w:hAnsi="Arial" w:cs="Arial"/>
                <w:sz w:val="24"/>
                <w:szCs w:val="24"/>
              </w:rPr>
              <w:t>пред</w:t>
            </w:r>
            <w:r w:rsidRPr="009C6042">
              <w:rPr>
                <w:rFonts w:ascii="Arial" w:hAnsi="Arial" w:cs="Arial"/>
                <w:sz w:val="24"/>
                <w:szCs w:val="24"/>
              </w:rPr>
              <w:t>о</w:t>
            </w:r>
            <w:r w:rsidRPr="009C6042">
              <w:rPr>
                <w:rFonts w:ascii="Arial" w:hAnsi="Arial" w:cs="Arial"/>
                <w:sz w:val="24"/>
                <w:szCs w:val="24"/>
              </w:rPr>
              <w:t xml:space="preserve">ставляемых из бюджета </w:t>
            </w:r>
            <w:proofErr w:type="spellStart"/>
            <w:r w:rsidRPr="009C6042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9C6042">
              <w:rPr>
                <w:rFonts w:ascii="Arial" w:hAnsi="Arial" w:cs="Arial"/>
                <w:sz w:val="24"/>
                <w:szCs w:val="24"/>
              </w:rPr>
              <w:t>р</w:t>
            </w:r>
            <w:r w:rsidRPr="009C604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C604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</w:t>
            </w:r>
            <w:r w:rsidRPr="009C6042">
              <w:rPr>
                <w:rFonts w:ascii="Arial" w:hAnsi="Arial" w:cs="Arial"/>
                <w:sz w:val="24"/>
                <w:szCs w:val="24"/>
              </w:rPr>
              <w:t>о</w:t>
            </w:r>
            <w:r w:rsidRPr="009C6042">
              <w:rPr>
                <w:rFonts w:ascii="Arial" w:hAnsi="Arial" w:cs="Arial"/>
                <w:sz w:val="24"/>
                <w:szCs w:val="24"/>
              </w:rPr>
              <w:t>градской области бюджетам посел</w:t>
            </w:r>
            <w:r w:rsidRPr="009C6042">
              <w:rPr>
                <w:rFonts w:ascii="Arial" w:hAnsi="Arial" w:cs="Arial"/>
                <w:sz w:val="24"/>
                <w:szCs w:val="24"/>
              </w:rPr>
              <w:t>е</w:t>
            </w:r>
            <w:r w:rsidRPr="009C6042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spellStart"/>
            <w:r w:rsidRPr="009C604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9C604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на с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держание объектов благоустройства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на 2024 год</w:t>
            </w:r>
          </w:p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78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7AB" w:rsidRPr="00E508CE" w:rsidRDefault="008877AB" w:rsidP="0088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08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8877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Pr="00E508CE">
        <w:rPr>
          <w:rFonts w:ascii="Arial" w:hAnsi="Arial" w:cs="Arial"/>
          <w:sz w:val="24"/>
          <w:szCs w:val="24"/>
        </w:rPr>
        <w:t>е</w:t>
      </w:r>
      <w:r w:rsidRPr="00E508CE">
        <w:rPr>
          <w:rFonts w:ascii="Arial" w:hAnsi="Arial" w:cs="Arial"/>
          <w:sz w:val="24"/>
          <w:szCs w:val="24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от </w:t>
      </w:r>
      <w:r w:rsidRPr="009C6042">
        <w:rPr>
          <w:rFonts w:ascii="Arial" w:hAnsi="Arial" w:cs="Arial"/>
          <w:sz w:val="24"/>
          <w:szCs w:val="24"/>
        </w:rPr>
        <w:t xml:space="preserve">07.02.2022 № 37/152 </w:t>
      </w:r>
      <w:r>
        <w:rPr>
          <w:rFonts w:ascii="Arial" w:hAnsi="Arial" w:cs="Arial"/>
          <w:sz w:val="24"/>
          <w:szCs w:val="24"/>
        </w:rPr>
        <w:t xml:space="preserve">(ред. от </w:t>
      </w:r>
      <w:r w:rsidRPr="008877AB">
        <w:rPr>
          <w:rFonts w:ascii="Arial" w:hAnsi="Arial" w:cs="Arial"/>
          <w:sz w:val="24"/>
          <w:szCs w:val="24"/>
        </w:rPr>
        <w:t>21.12.2023 № 56/271</w:t>
      </w:r>
      <w:r>
        <w:rPr>
          <w:rFonts w:ascii="Arial" w:hAnsi="Arial" w:cs="Arial"/>
          <w:sz w:val="24"/>
          <w:szCs w:val="24"/>
        </w:rPr>
        <w:t>)</w:t>
      </w:r>
      <w:r w:rsidRPr="009C6042">
        <w:rPr>
          <w:rFonts w:ascii="Arial" w:hAnsi="Arial" w:cs="Arial"/>
          <w:sz w:val="24"/>
          <w:szCs w:val="24"/>
        </w:rPr>
        <w:t xml:space="preserve"> «</w:t>
      </w:r>
      <w:r w:rsidRPr="008877AB">
        <w:rPr>
          <w:rFonts w:ascii="Arial" w:hAnsi="Arial" w:cs="Arial"/>
          <w:sz w:val="24"/>
          <w:szCs w:val="28"/>
        </w:rPr>
        <w:t xml:space="preserve">Об утверждении Порядка предоставления иного межбюджетного трансферта бюджетам сельских поселений </w:t>
      </w:r>
      <w:proofErr w:type="spellStart"/>
      <w:r w:rsidRPr="008877AB">
        <w:rPr>
          <w:rFonts w:ascii="Arial" w:hAnsi="Arial" w:cs="Arial"/>
          <w:sz w:val="24"/>
          <w:szCs w:val="28"/>
        </w:rPr>
        <w:t>Светлоярского</w:t>
      </w:r>
      <w:proofErr w:type="spellEnd"/>
      <w:r w:rsidRPr="008877AB">
        <w:rPr>
          <w:rFonts w:ascii="Arial" w:hAnsi="Arial" w:cs="Arial"/>
          <w:sz w:val="24"/>
          <w:szCs w:val="28"/>
        </w:rPr>
        <w:t xml:space="preserve"> м</w:t>
      </w:r>
      <w:r w:rsidRPr="008877AB">
        <w:rPr>
          <w:rFonts w:ascii="Arial" w:hAnsi="Arial" w:cs="Arial"/>
          <w:sz w:val="24"/>
          <w:szCs w:val="28"/>
        </w:rPr>
        <w:t>у</w:t>
      </w:r>
      <w:r w:rsidRPr="008877AB">
        <w:rPr>
          <w:rFonts w:ascii="Arial" w:hAnsi="Arial" w:cs="Arial"/>
          <w:sz w:val="24"/>
          <w:szCs w:val="28"/>
        </w:rPr>
        <w:t>ниципального района Волгоградской области на поддержку мер по обеспеч</w:t>
      </w:r>
      <w:r w:rsidRPr="008877AB">
        <w:rPr>
          <w:rFonts w:ascii="Arial" w:hAnsi="Arial" w:cs="Arial"/>
          <w:sz w:val="24"/>
          <w:szCs w:val="28"/>
        </w:rPr>
        <w:t>е</w:t>
      </w:r>
      <w:r w:rsidRPr="008877AB">
        <w:rPr>
          <w:rFonts w:ascii="Arial" w:hAnsi="Arial" w:cs="Arial"/>
          <w:sz w:val="24"/>
          <w:szCs w:val="28"/>
        </w:rPr>
        <w:t>нию сбалансированности местных</w:t>
      </w:r>
      <w:proofErr w:type="gramEnd"/>
      <w:r w:rsidRPr="008877AB">
        <w:rPr>
          <w:rFonts w:ascii="Arial" w:hAnsi="Arial" w:cs="Arial"/>
          <w:sz w:val="24"/>
          <w:szCs w:val="28"/>
        </w:rPr>
        <w:t xml:space="preserve"> бюджетов, источником финансового </w:t>
      </w:r>
      <w:proofErr w:type="gramStart"/>
      <w:r w:rsidRPr="008877AB">
        <w:rPr>
          <w:rFonts w:ascii="Arial" w:hAnsi="Arial" w:cs="Arial"/>
          <w:sz w:val="24"/>
          <w:szCs w:val="28"/>
        </w:rPr>
        <w:t>обесп</w:t>
      </w:r>
      <w:r w:rsidRPr="008877AB">
        <w:rPr>
          <w:rFonts w:ascii="Arial" w:hAnsi="Arial" w:cs="Arial"/>
          <w:sz w:val="24"/>
          <w:szCs w:val="28"/>
        </w:rPr>
        <w:t>е</w:t>
      </w:r>
      <w:r w:rsidRPr="008877AB">
        <w:rPr>
          <w:rFonts w:ascii="Arial" w:hAnsi="Arial" w:cs="Arial"/>
          <w:sz w:val="24"/>
          <w:szCs w:val="28"/>
        </w:rPr>
        <w:t>чения</w:t>
      </w:r>
      <w:proofErr w:type="gramEnd"/>
      <w:r w:rsidRPr="008877AB">
        <w:rPr>
          <w:rFonts w:ascii="Arial" w:hAnsi="Arial" w:cs="Arial"/>
          <w:sz w:val="24"/>
          <w:szCs w:val="28"/>
        </w:rPr>
        <w:t xml:space="preserve"> которого является субсидия на обеспечение сбалансированности мес</w:t>
      </w:r>
      <w:r w:rsidRPr="008877AB">
        <w:rPr>
          <w:rFonts w:ascii="Arial" w:hAnsi="Arial" w:cs="Arial"/>
          <w:sz w:val="24"/>
          <w:szCs w:val="28"/>
        </w:rPr>
        <w:t>т</w:t>
      </w:r>
      <w:proofErr w:type="gramStart"/>
      <w:r w:rsidRPr="008877AB">
        <w:rPr>
          <w:rFonts w:ascii="Arial" w:hAnsi="Arial" w:cs="Arial"/>
          <w:sz w:val="24"/>
          <w:szCs w:val="28"/>
        </w:rPr>
        <w:t xml:space="preserve">ных бюджетов, предоставленная бюджету </w:t>
      </w:r>
      <w:proofErr w:type="spellStart"/>
      <w:r w:rsidRPr="008877AB">
        <w:rPr>
          <w:rFonts w:ascii="Arial" w:hAnsi="Arial" w:cs="Arial"/>
          <w:sz w:val="24"/>
          <w:szCs w:val="28"/>
        </w:rPr>
        <w:t>Светлоярского</w:t>
      </w:r>
      <w:proofErr w:type="spellEnd"/>
      <w:r w:rsidRPr="008877AB">
        <w:rPr>
          <w:rFonts w:ascii="Arial" w:hAnsi="Arial" w:cs="Arial"/>
          <w:sz w:val="24"/>
          <w:szCs w:val="28"/>
        </w:rPr>
        <w:t xml:space="preserve"> муниципального ра</w:t>
      </w:r>
      <w:r w:rsidRPr="008877AB">
        <w:rPr>
          <w:rFonts w:ascii="Arial" w:hAnsi="Arial" w:cs="Arial"/>
          <w:sz w:val="24"/>
          <w:szCs w:val="28"/>
        </w:rPr>
        <w:t>й</w:t>
      </w:r>
      <w:r w:rsidRPr="008877AB">
        <w:rPr>
          <w:rFonts w:ascii="Arial" w:hAnsi="Arial" w:cs="Arial"/>
          <w:sz w:val="24"/>
          <w:szCs w:val="28"/>
        </w:rPr>
        <w:t xml:space="preserve">она Волгоградской области из бюджета Волгоградской области, и Порядка предоставления из бюджета </w:t>
      </w:r>
      <w:proofErr w:type="spellStart"/>
      <w:r w:rsidRPr="008877AB">
        <w:rPr>
          <w:rFonts w:ascii="Arial" w:hAnsi="Arial" w:cs="Arial"/>
          <w:sz w:val="24"/>
          <w:szCs w:val="28"/>
        </w:rPr>
        <w:t>Светлоярского</w:t>
      </w:r>
      <w:proofErr w:type="spellEnd"/>
      <w:r w:rsidRPr="008877AB">
        <w:rPr>
          <w:rFonts w:ascii="Arial" w:hAnsi="Arial" w:cs="Arial"/>
          <w:sz w:val="24"/>
          <w:szCs w:val="28"/>
        </w:rPr>
        <w:t xml:space="preserve"> муниципального района Волгогра</w:t>
      </w:r>
      <w:r w:rsidRPr="008877AB">
        <w:rPr>
          <w:rFonts w:ascii="Arial" w:hAnsi="Arial" w:cs="Arial"/>
          <w:sz w:val="24"/>
          <w:szCs w:val="28"/>
        </w:rPr>
        <w:t>д</w:t>
      </w:r>
      <w:r w:rsidRPr="008877AB">
        <w:rPr>
          <w:rFonts w:ascii="Arial" w:hAnsi="Arial" w:cs="Arial"/>
          <w:sz w:val="24"/>
          <w:szCs w:val="28"/>
        </w:rPr>
        <w:t xml:space="preserve">ской области бюджетам поселений </w:t>
      </w:r>
      <w:proofErr w:type="spellStart"/>
      <w:r w:rsidRPr="008877AB">
        <w:rPr>
          <w:rFonts w:ascii="Arial" w:hAnsi="Arial" w:cs="Arial"/>
          <w:sz w:val="24"/>
          <w:szCs w:val="28"/>
        </w:rPr>
        <w:t>Светлоярского</w:t>
      </w:r>
      <w:proofErr w:type="spellEnd"/>
      <w:r w:rsidRPr="008877AB">
        <w:rPr>
          <w:rFonts w:ascii="Arial" w:hAnsi="Arial" w:cs="Arial"/>
          <w:sz w:val="24"/>
          <w:szCs w:val="28"/>
        </w:rPr>
        <w:t xml:space="preserve"> муниципального района Во</w:t>
      </w:r>
      <w:r w:rsidRPr="008877AB">
        <w:rPr>
          <w:rFonts w:ascii="Arial" w:hAnsi="Arial" w:cs="Arial"/>
          <w:sz w:val="24"/>
          <w:szCs w:val="28"/>
        </w:rPr>
        <w:t>л</w:t>
      </w:r>
      <w:r w:rsidRPr="008877AB">
        <w:rPr>
          <w:rFonts w:ascii="Arial" w:hAnsi="Arial" w:cs="Arial"/>
          <w:sz w:val="24"/>
          <w:szCs w:val="28"/>
        </w:rPr>
        <w:t>гоградской области иных межбюджетных трансфертов на содержание объектов благоустройства</w:t>
      </w:r>
      <w:r w:rsidRPr="009C604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 от  01.04.2022 № 566 «Об утверждении Методики распределения иных межбюджетных трансфертов, предоставляемых 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 w:rsidRPr="009C6042">
        <w:rPr>
          <w:rFonts w:ascii="Arial" w:hAnsi="Arial" w:cs="Arial"/>
          <w:bCs/>
          <w:sz w:val="24"/>
          <w:szCs w:val="24"/>
        </w:rPr>
        <w:t>содержание объектов благоустройства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E508C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8877AB" w:rsidRPr="00172257" w:rsidRDefault="00427E3A" w:rsidP="0088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8877AB"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8877AB" w:rsidRPr="00172257">
        <w:rPr>
          <w:rFonts w:ascii="Arial" w:hAnsi="Arial" w:cs="Arial"/>
          <w:bCs/>
          <w:sz w:val="24"/>
          <w:szCs w:val="24"/>
        </w:rPr>
        <w:t>ин</w:t>
      </w:r>
      <w:r w:rsidR="008877AB">
        <w:rPr>
          <w:rFonts w:ascii="Arial" w:hAnsi="Arial" w:cs="Arial"/>
          <w:bCs/>
          <w:sz w:val="24"/>
          <w:szCs w:val="24"/>
        </w:rPr>
        <w:t>ых</w:t>
      </w:r>
      <w:r w:rsidR="008877AB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8877AB">
        <w:rPr>
          <w:rFonts w:ascii="Arial" w:hAnsi="Arial" w:cs="Arial"/>
          <w:bCs/>
          <w:sz w:val="24"/>
          <w:szCs w:val="24"/>
        </w:rPr>
        <w:t>ых</w:t>
      </w:r>
      <w:r w:rsidR="008877AB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8877AB">
        <w:rPr>
          <w:rFonts w:ascii="Arial" w:hAnsi="Arial" w:cs="Arial"/>
          <w:bCs/>
          <w:sz w:val="24"/>
          <w:szCs w:val="24"/>
        </w:rPr>
        <w:t>ов</w:t>
      </w:r>
      <w:r w:rsidR="008877AB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8877AB" w:rsidRPr="00172257">
        <w:rPr>
          <w:rFonts w:ascii="Arial" w:hAnsi="Arial" w:cs="Arial"/>
          <w:sz w:val="24"/>
          <w:szCs w:val="24"/>
        </w:rPr>
        <w:t>пред</w:t>
      </w:r>
      <w:r w:rsidR="008877AB">
        <w:rPr>
          <w:rFonts w:ascii="Arial" w:hAnsi="Arial" w:cs="Arial"/>
          <w:sz w:val="24"/>
          <w:szCs w:val="24"/>
        </w:rPr>
        <w:t>о</w:t>
      </w:r>
      <w:r w:rsidR="008877AB">
        <w:rPr>
          <w:rFonts w:ascii="Arial" w:hAnsi="Arial" w:cs="Arial"/>
          <w:sz w:val="24"/>
          <w:szCs w:val="24"/>
        </w:rPr>
        <w:t>ставля</w:t>
      </w:r>
      <w:r w:rsidR="008877AB" w:rsidRPr="00172257">
        <w:rPr>
          <w:rFonts w:ascii="Arial" w:hAnsi="Arial" w:cs="Arial"/>
          <w:sz w:val="24"/>
          <w:szCs w:val="24"/>
        </w:rPr>
        <w:t>ем</w:t>
      </w:r>
      <w:r w:rsidR="008877AB">
        <w:rPr>
          <w:rFonts w:ascii="Arial" w:hAnsi="Arial" w:cs="Arial"/>
          <w:sz w:val="24"/>
          <w:szCs w:val="24"/>
        </w:rPr>
        <w:t>ых</w:t>
      </w:r>
      <w:r w:rsidR="008877AB" w:rsidRPr="00172257">
        <w:rPr>
          <w:rFonts w:ascii="Arial" w:hAnsi="Arial" w:cs="Arial"/>
          <w:sz w:val="24"/>
          <w:szCs w:val="24"/>
        </w:rPr>
        <w:t xml:space="preserve"> </w:t>
      </w:r>
      <w:r w:rsidR="008877AB">
        <w:rPr>
          <w:rFonts w:ascii="Arial" w:hAnsi="Arial" w:cs="Arial"/>
          <w:sz w:val="24"/>
          <w:szCs w:val="24"/>
        </w:rPr>
        <w:t>из</w:t>
      </w:r>
      <w:r w:rsidR="008877AB" w:rsidRPr="00172257">
        <w:rPr>
          <w:rFonts w:ascii="Arial" w:hAnsi="Arial" w:cs="Arial"/>
          <w:sz w:val="24"/>
          <w:szCs w:val="24"/>
        </w:rPr>
        <w:t xml:space="preserve"> бюджет</w:t>
      </w:r>
      <w:r w:rsidR="008877AB">
        <w:rPr>
          <w:rFonts w:ascii="Arial" w:hAnsi="Arial" w:cs="Arial"/>
          <w:sz w:val="24"/>
          <w:szCs w:val="24"/>
        </w:rPr>
        <w:t>а</w:t>
      </w:r>
      <w:r w:rsidR="008877AB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AB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77AB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877A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877AB" w:rsidRPr="00172257">
        <w:rPr>
          <w:rFonts w:ascii="Arial" w:hAnsi="Arial" w:cs="Arial"/>
          <w:sz w:val="24"/>
          <w:szCs w:val="24"/>
        </w:rPr>
        <w:t>бюджет</w:t>
      </w:r>
      <w:r w:rsidR="008877AB">
        <w:rPr>
          <w:rFonts w:ascii="Arial" w:hAnsi="Arial" w:cs="Arial"/>
          <w:sz w:val="24"/>
          <w:szCs w:val="24"/>
        </w:rPr>
        <w:t>ам</w:t>
      </w:r>
      <w:r w:rsidR="008877AB" w:rsidRPr="00172257">
        <w:rPr>
          <w:rFonts w:ascii="Arial" w:hAnsi="Arial" w:cs="Arial"/>
          <w:sz w:val="24"/>
          <w:szCs w:val="24"/>
        </w:rPr>
        <w:t xml:space="preserve"> поселени</w:t>
      </w:r>
      <w:r w:rsidR="008877AB">
        <w:rPr>
          <w:rFonts w:ascii="Arial" w:hAnsi="Arial" w:cs="Arial"/>
          <w:sz w:val="24"/>
          <w:szCs w:val="24"/>
        </w:rPr>
        <w:t>й</w:t>
      </w:r>
      <w:r w:rsidR="008877AB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AB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77AB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877AB">
        <w:rPr>
          <w:rFonts w:ascii="Arial" w:hAnsi="Arial" w:cs="Arial"/>
          <w:sz w:val="24"/>
          <w:szCs w:val="24"/>
        </w:rPr>
        <w:t>Волг</w:t>
      </w:r>
      <w:r w:rsidR="008877AB">
        <w:rPr>
          <w:rFonts w:ascii="Arial" w:hAnsi="Arial" w:cs="Arial"/>
          <w:sz w:val="24"/>
          <w:szCs w:val="24"/>
        </w:rPr>
        <w:t>о</w:t>
      </w:r>
      <w:r w:rsidR="008877AB">
        <w:rPr>
          <w:rFonts w:ascii="Arial" w:hAnsi="Arial" w:cs="Arial"/>
          <w:sz w:val="24"/>
          <w:szCs w:val="24"/>
        </w:rPr>
        <w:lastRenderedPageBreak/>
        <w:t xml:space="preserve">градской области </w:t>
      </w:r>
      <w:r w:rsidR="008877AB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8877AB">
        <w:rPr>
          <w:rFonts w:ascii="Arial" w:hAnsi="Arial" w:cs="Arial"/>
          <w:bCs/>
          <w:sz w:val="24"/>
          <w:szCs w:val="24"/>
        </w:rPr>
        <w:t>с</w:t>
      </w:r>
      <w:r w:rsidR="008877AB" w:rsidRPr="009C6042">
        <w:rPr>
          <w:rFonts w:ascii="Arial" w:hAnsi="Arial" w:cs="Arial"/>
          <w:bCs/>
          <w:sz w:val="24"/>
          <w:szCs w:val="24"/>
        </w:rPr>
        <w:t>одержание объектов благоустройства</w:t>
      </w:r>
      <w:r w:rsidR="008877AB">
        <w:rPr>
          <w:rFonts w:ascii="Arial" w:hAnsi="Arial" w:cs="Arial"/>
          <w:bCs/>
          <w:sz w:val="24"/>
          <w:szCs w:val="24"/>
        </w:rPr>
        <w:t>,</w:t>
      </w:r>
      <w:r w:rsidR="008877AB" w:rsidRPr="0073715C">
        <w:rPr>
          <w:rFonts w:ascii="Arial" w:hAnsi="Arial" w:cs="Arial"/>
          <w:sz w:val="24"/>
          <w:szCs w:val="24"/>
        </w:rPr>
        <w:t xml:space="preserve"> </w:t>
      </w:r>
      <w:r w:rsidR="008877AB" w:rsidRPr="003C5670">
        <w:rPr>
          <w:rFonts w:ascii="Arial" w:hAnsi="Arial" w:cs="Arial"/>
          <w:sz w:val="24"/>
          <w:szCs w:val="24"/>
        </w:rPr>
        <w:t xml:space="preserve">на </w:t>
      </w:r>
      <w:r w:rsidR="008877AB" w:rsidRPr="00EF3C88">
        <w:rPr>
          <w:rFonts w:ascii="Arial" w:hAnsi="Arial" w:cs="Arial"/>
          <w:sz w:val="24"/>
          <w:szCs w:val="24"/>
        </w:rPr>
        <w:t>202</w:t>
      </w:r>
      <w:r w:rsidR="008877AB">
        <w:rPr>
          <w:rFonts w:ascii="Arial" w:hAnsi="Arial" w:cs="Arial"/>
          <w:sz w:val="24"/>
          <w:szCs w:val="24"/>
        </w:rPr>
        <w:t>4</w:t>
      </w:r>
      <w:r w:rsidR="008877AB" w:rsidRPr="00EF3C88">
        <w:rPr>
          <w:rFonts w:ascii="Arial" w:hAnsi="Arial" w:cs="Arial"/>
          <w:sz w:val="24"/>
          <w:szCs w:val="24"/>
        </w:rPr>
        <w:t xml:space="preserve"> год</w:t>
      </w:r>
      <w:r w:rsidR="008877AB" w:rsidRPr="0073715C">
        <w:rPr>
          <w:rFonts w:ascii="Arial" w:hAnsi="Arial" w:cs="Arial"/>
          <w:sz w:val="24"/>
          <w:szCs w:val="24"/>
        </w:rPr>
        <w:t xml:space="preserve"> (пр</w:t>
      </w:r>
      <w:r w:rsidR="008877AB" w:rsidRPr="0073715C">
        <w:rPr>
          <w:rFonts w:ascii="Arial" w:hAnsi="Arial" w:cs="Arial"/>
          <w:sz w:val="24"/>
          <w:szCs w:val="24"/>
        </w:rPr>
        <w:t>и</w:t>
      </w:r>
      <w:r w:rsidR="008877AB" w:rsidRPr="0073715C">
        <w:rPr>
          <w:rFonts w:ascii="Arial" w:hAnsi="Arial" w:cs="Arial"/>
          <w:sz w:val="24"/>
          <w:szCs w:val="24"/>
        </w:rPr>
        <w:t>л</w:t>
      </w:r>
      <w:r w:rsidR="008877AB">
        <w:rPr>
          <w:rFonts w:ascii="Arial" w:hAnsi="Arial" w:cs="Arial"/>
          <w:sz w:val="24"/>
          <w:szCs w:val="24"/>
        </w:rPr>
        <w:t>агается).</w:t>
      </w:r>
    </w:p>
    <w:p w:rsidR="00427E3A" w:rsidRPr="004C0EB6" w:rsidRDefault="008877AB" w:rsidP="008877AB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427E3A" w:rsidRPr="00381EC4" w:rsidRDefault="00427E3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1EC4">
        <w:rPr>
          <w:rFonts w:ascii="Arial" w:hAnsi="Arial" w:cs="Arial"/>
          <w:color w:val="000000"/>
          <w:sz w:val="24"/>
          <w:szCs w:val="24"/>
        </w:rPr>
        <w:t xml:space="preserve">2. </w:t>
      </w:r>
      <w:r w:rsidR="00854AA6" w:rsidRPr="00381EC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54AA6" w:rsidRPr="00381EC4">
        <w:rPr>
          <w:rFonts w:ascii="Arial" w:hAnsi="Arial" w:cs="Arial"/>
          <w:sz w:val="24"/>
          <w:szCs w:val="24"/>
        </w:rPr>
        <w:t>и</w:t>
      </w:r>
      <w:r w:rsidR="00854AA6" w:rsidRPr="00381EC4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854AA6" w:rsidRPr="00381E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381E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81EC4">
        <w:rPr>
          <w:rFonts w:ascii="Arial" w:hAnsi="Arial" w:cs="Arial"/>
          <w:sz w:val="24"/>
          <w:szCs w:val="24"/>
        </w:rPr>
        <w:t xml:space="preserve"> </w:t>
      </w:r>
      <w:r w:rsidR="00854AA6" w:rsidRPr="00381EC4">
        <w:rPr>
          <w:rFonts w:ascii="Arial" w:hAnsi="Arial" w:cs="Arial"/>
          <w:sz w:val="24"/>
          <w:szCs w:val="24"/>
        </w:rPr>
        <w:t xml:space="preserve"> (Иванова Н.В.) направить настоящее постановление для размещения на оф</w:t>
      </w:r>
      <w:r w:rsidR="00854AA6" w:rsidRPr="00381EC4">
        <w:rPr>
          <w:rFonts w:ascii="Arial" w:hAnsi="Arial" w:cs="Arial"/>
          <w:sz w:val="24"/>
          <w:szCs w:val="24"/>
        </w:rPr>
        <w:t>и</w:t>
      </w:r>
      <w:r w:rsidR="00854AA6" w:rsidRPr="00381EC4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="00854AA6" w:rsidRPr="00381EC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4AA6" w:rsidRPr="00381E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«Интернет».</w:t>
      </w:r>
    </w:p>
    <w:p w:rsidR="00427E3A" w:rsidRPr="004C0EB6" w:rsidRDefault="00427E3A" w:rsidP="00854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427E3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администрации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27E3A" w:rsidRPr="009D14FD" w:rsidRDefault="00427E3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427E3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A40335">
        <w:rPr>
          <w:rFonts w:ascii="Arial" w:hAnsi="Arial" w:cs="Arial"/>
          <w:sz w:val="24"/>
          <w:szCs w:val="24"/>
        </w:rPr>
        <w:t xml:space="preserve">заместителя </w:t>
      </w:r>
      <w:r w:rsidRPr="009D14FD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A40335">
        <w:rPr>
          <w:rFonts w:ascii="Arial" w:hAnsi="Arial" w:cs="Arial"/>
          <w:sz w:val="24"/>
          <w:szCs w:val="24"/>
        </w:rPr>
        <w:t>Мокееву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4033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  <w:r w:rsidR="00A4033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54AA6" w:rsidRDefault="00854AA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6FB8" w:rsidRDefault="002C6FB8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796543" w:rsidRDefault="00796543" w:rsidP="00854AA6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80597D" w:rsidTr="00890CEF">
        <w:tc>
          <w:tcPr>
            <w:tcW w:w="5211" w:type="dxa"/>
          </w:tcPr>
          <w:p w:rsidR="0080597D" w:rsidRDefault="0080597D" w:rsidP="00890CEF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80597D" w:rsidRP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597D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0597D" w:rsidRPr="0080597D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597D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0597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80597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области</w:t>
            </w:r>
          </w:p>
          <w:p w:rsidR="0080597D" w:rsidRDefault="0080597D" w:rsidP="004A3A0A">
            <w:pPr>
              <w:pStyle w:val="ConsPlusNormal"/>
              <w:rPr>
                <w:sz w:val="18"/>
                <w:szCs w:val="18"/>
              </w:rPr>
            </w:pPr>
            <w:r w:rsidRPr="0080597D">
              <w:rPr>
                <w:rFonts w:ascii="Arial" w:hAnsi="Arial" w:cs="Arial"/>
                <w:szCs w:val="24"/>
              </w:rPr>
              <w:t xml:space="preserve">от </w:t>
            </w:r>
            <w:r w:rsidR="004A3A0A">
              <w:rPr>
                <w:rFonts w:ascii="Arial" w:hAnsi="Arial" w:cs="Arial"/>
                <w:szCs w:val="24"/>
              </w:rPr>
              <w:t>20.02.</w:t>
            </w:r>
            <w:r w:rsidRPr="0080597D">
              <w:rPr>
                <w:rFonts w:ascii="Arial" w:hAnsi="Arial" w:cs="Arial"/>
                <w:szCs w:val="24"/>
              </w:rPr>
              <w:t xml:space="preserve"> 202</w:t>
            </w:r>
            <w:r w:rsidR="00AE4CA2">
              <w:rPr>
                <w:rFonts w:ascii="Arial" w:hAnsi="Arial" w:cs="Arial"/>
                <w:szCs w:val="24"/>
              </w:rPr>
              <w:t>4</w:t>
            </w:r>
            <w:r w:rsidRPr="0080597D">
              <w:rPr>
                <w:rFonts w:ascii="Arial" w:hAnsi="Arial" w:cs="Arial"/>
                <w:szCs w:val="24"/>
              </w:rPr>
              <w:t xml:space="preserve"> № </w:t>
            </w:r>
            <w:r w:rsidR="004A3A0A">
              <w:rPr>
                <w:rFonts w:ascii="Arial" w:hAnsi="Arial" w:cs="Arial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80597D" w:rsidRDefault="0080597D" w:rsidP="008059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</w:t>
      </w:r>
    </w:p>
    <w:p w:rsidR="002C6FB8" w:rsidRDefault="002C6FB8" w:rsidP="002C6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2C6FB8" w:rsidRDefault="002C6FB8" w:rsidP="002C6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2C6FB8" w:rsidRPr="003C5670" w:rsidRDefault="002C6FB8" w:rsidP="002C6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>с</w:t>
      </w:r>
      <w:r w:rsidRPr="009C6042">
        <w:rPr>
          <w:rFonts w:ascii="Arial" w:hAnsi="Arial" w:cs="Arial"/>
          <w:bCs/>
          <w:sz w:val="24"/>
          <w:szCs w:val="24"/>
        </w:rPr>
        <w:t>одержание объектов благоустройства</w:t>
      </w:r>
      <w:r>
        <w:rPr>
          <w:rFonts w:ascii="Arial" w:hAnsi="Arial" w:cs="Arial"/>
          <w:bCs/>
          <w:sz w:val="24"/>
          <w:szCs w:val="24"/>
        </w:rPr>
        <w:t>,</w:t>
      </w:r>
      <w:r w:rsidRPr="003C5670">
        <w:rPr>
          <w:rFonts w:ascii="Arial" w:hAnsi="Arial" w:cs="Arial"/>
          <w:sz w:val="24"/>
          <w:szCs w:val="24"/>
        </w:rPr>
        <w:t xml:space="preserve"> на </w:t>
      </w:r>
      <w:r w:rsidRPr="00EF3C8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EF3C88">
        <w:rPr>
          <w:rFonts w:ascii="Arial" w:hAnsi="Arial" w:cs="Arial"/>
          <w:sz w:val="24"/>
          <w:szCs w:val="24"/>
        </w:rPr>
        <w:t xml:space="preserve"> год</w:t>
      </w:r>
    </w:p>
    <w:p w:rsidR="0080597D" w:rsidRPr="0073715C" w:rsidRDefault="0080597D" w:rsidP="008059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225"/>
      </w:tblGrid>
      <w:tr w:rsidR="0080597D" w:rsidRPr="0073715C" w:rsidTr="00AA6A34">
        <w:tc>
          <w:tcPr>
            <w:tcW w:w="675" w:type="dxa"/>
            <w:tcBorders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A6A34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</w:p>
          <w:p w:rsidR="00AA6A34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706">
              <w:rPr>
                <w:rFonts w:ascii="Arial" w:hAnsi="Arial" w:cs="Arial"/>
                <w:sz w:val="24"/>
                <w:szCs w:val="24"/>
              </w:rPr>
              <w:t xml:space="preserve">межбюджетного 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706">
              <w:rPr>
                <w:rFonts w:ascii="Arial" w:hAnsi="Arial" w:cs="Arial"/>
                <w:sz w:val="24"/>
                <w:szCs w:val="24"/>
              </w:rPr>
              <w:t>трансферта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80597D" w:rsidRPr="0073715C" w:rsidTr="00AA6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6FB8" w:rsidRPr="0073715C" w:rsidTr="00AA6A3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C6FB8" w:rsidRPr="0073715C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Кировское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 поселение</w:t>
            </w:r>
          </w:p>
          <w:p w:rsidR="002C6FB8" w:rsidRPr="0073715C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193 888,00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232 777,00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C6FB8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235 222,00</w:t>
            </w:r>
          </w:p>
          <w:p w:rsidR="002C6FB8" w:rsidRPr="0073715C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6 194 111,00</w:t>
            </w:r>
          </w:p>
        </w:tc>
      </w:tr>
      <w:tr w:rsidR="002C6FB8" w:rsidRPr="00217234" w:rsidTr="00AA6A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6FB8" w:rsidRPr="0073715C" w:rsidRDefault="002C6FB8" w:rsidP="00202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6FB8" w:rsidRPr="0073715C" w:rsidRDefault="002C6FB8" w:rsidP="002025B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6FB8" w:rsidRPr="00217234" w:rsidRDefault="002C6FB8" w:rsidP="002025B1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7</w:t>
            </w:r>
            <w:r w:rsidRP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856</w:t>
            </w:r>
            <w:r w:rsidRP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21723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80597D" w:rsidRPr="0073715C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80597D" w:rsidTr="00AA6A34">
        <w:tc>
          <w:tcPr>
            <w:tcW w:w="4503" w:type="dxa"/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80597D" w:rsidRPr="0073715C" w:rsidRDefault="0080597D" w:rsidP="00890C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80597D" w:rsidRDefault="0080597D" w:rsidP="00890C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97D" w:rsidRDefault="0080597D" w:rsidP="008059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ermEnd w:id="400189767"/>
    <w:p w:rsidR="00854AA6" w:rsidRPr="005D034A" w:rsidRDefault="00854AA6" w:rsidP="00854AA6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sectPr w:rsidR="00854AA6" w:rsidRPr="005D034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8" w:rsidRDefault="002D0058" w:rsidP="00B87C1B">
      <w:pPr>
        <w:spacing w:after="0" w:line="240" w:lineRule="auto"/>
      </w:pPr>
      <w:r>
        <w:separator/>
      </w:r>
    </w:p>
  </w:endnote>
  <w:endnote w:type="continuationSeparator" w:id="0">
    <w:p w:rsidR="002D0058" w:rsidRDefault="002D0058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8" w:rsidRDefault="002D0058" w:rsidP="00B87C1B">
      <w:pPr>
        <w:spacing w:after="0" w:line="240" w:lineRule="auto"/>
      </w:pPr>
      <w:r>
        <w:separator/>
      </w:r>
    </w:p>
  </w:footnote>
  <w:footnote w:type="continuationSeparator" w:id="0">
    <w:p w:rsidR="002D0058" w:rsidRDefault="002D0058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A3A0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95A58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6E8A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C6FB8"/>
    <w:rsid w:val="002D0058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1EC4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3A0A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1EE0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021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7AB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335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6A34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4CA2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4EF5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200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8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8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56C5-AFC7-4725-A280-C4A9E116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2024-01-29T13:08:00Z</cp:lastPrinted>
  <dcterms:created xsi:type="dcterms:W3CDTF">2024-02-22T05:29:00Z</dcterms:created>
  <dcterms:modified xsi:type="dcterms:W3CDTF">2024-02-22T05:29:00Z</dcterms:modified>
</cp:coreProperties>
</file>