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>от __________ 202</w:t>
      </w:r>
      <w:permStart w:id="976440783" w:edGrp="everyone"/>
      <w:r w:rsidR="004438DB">
        <w:rPr>
          <w:rFonts w:ascii="Arial" w:hAnsi="Arial" w:cs="Arial"/>
          <w:sz w:val="24"/>
          <w:szCs w:val="24"/>
        </w:rPr>
        <w:t>3</w:t>
      </w:r>
      <w:permEnd w:id="976440783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 _______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38DB" w:rsidRDefault="004438DB" w:rsidP="004438D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ermStart w:id="269448243" w:edGrp="everyone"/>
      <w:r>
        <w:rPr>
          <w:rFonts w:ascii="Arial" w:eastAsia="Calibri" w:hAnsi="Arial" w:cs="Arial"/>
          <w:sz w:val="24"/>
          <w:szCs w:val="24"/>
        </w:rPr>
        <w:t>О внесении изменений в Базовые нормативы</w:t>
      </w:r>
    </w:p>
    <w:p w:rsidR="004438DB" w:rsidRDefault="004438DB" w:rsidP="004438D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затрат на оказание муниципальных услуг</w:t>
      </w:r>
      <w:bookmarkStart w:id="0" w:name="_GoBack"/>
      <w:bookmarkEnd w:id="0"/>
    </w:p>
    <w:p w:rsidR="004438DB" w:rsidRDefault="004438DB" w:rsidP="004438D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муниципальными бюджетными (автономными) </w:t>
      </w:r>
    </w:p>
    <w:p w:rsidR="004438DB" w:rsidRDefault="004438DB" w:rsidP="004438D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учреждениями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4438DB" w:rsidRDefault="004438DB" w:rsidP="004438D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района Волгоградской области за счет средств</w:t>
      </w:r>
    </w:p>
    <w:p w:rsidR="004438DB" w:rsidRDefault="004438DB" w:rsidP="004438D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</w:p>
    <w:p w:rsidR="004438DB" w:rsidRDefault="004438DB" w:rsidP="004438D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на 2023 год, </w:t>
      </w:r>
    </w:p>
    <w:p w:rsidR="004438DB" w:rsidRDefault="004438DB" w:rsidP="004438D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утвержденные постановлением администрации</w:t>
      </w:r>
    </w:p>
    <w:p w:rsidR="004438DB" w:rsidRDefault="004438DB" w:rsidP="004438D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</w:p>
    <w:p w:rsidR="004438DB" w:rsidRPr="00386131" w:rsidRDefault="004438DB" w:rsidP="00C8124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29.12.2022 № 2286 </w:t>
      </w:r>
    </w:p>
    <w:p w:rsidR="002A2B79" w:rsidRPr="009D14FD" w:rsidRDefault="002A2B79" w:rsidP="009F4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D4D" w:rsidRPr="009D14FD" w:rsidRDefault="009F4D4D" w:rsidP="009F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6AC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 от 06.10.2003 №131-ФЗ «Об о</w:t>
      </w:r>
      <w:r w:rsidRPr="001736AC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1736AC">
        <w:rPr>
          <w:rFonts w:ascii="Arial" w:hAnsi="Arial" w:cs="Arial"/>
          <w:sz w:val="24"/>
          <w:szCs w:val="24"/>
          <w:shd w:val="clear" w:color="auto" w:fill="FFFFFF"/>
        </w:rPr>
        <w:t>щих принципах организации местного самоуправления в Российской Федер</w:t>
      </w:r>
      <w:r w:rsidRPr="001736AC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736AC">
        <w:rPr>
          <w:rFonts w:ascii="Arial" w:hAnsi="Arial" w:cs="Arial"/>
          <w:sz w:val="24"/>
          <w:szCs w:val="24"/>
          <w:shd w:val="clear" w:color="auto" w:fill="FFFFFF"/>
        </w:rPr>
        <w:t xml:space="preserve">ции», </w:t>
      </w:r>
      <w:r w:rsidRPr="001736AC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1736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36A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1736AC">
        <w:rPr>
          <w:rFonts w:ascii="Arial" w:hAnsi="Arial" w:cs="Arial"/>
          <w:sz w:val="24"/>
          <w:szCs w:val="24"/>
        </w:rPr>
        <w:t>о</w:t>
      </w:r>
      <w:r w:rsidRPr="001736AC">
        <w:rPr>
          <w:rFonts w:ascii="Arial" w:hAnsi="Arial" w:cs="Arial"/>
          <w:sz w:val="24"/>
          <w:szCs w:val="24"/>
        </w:rPr>
        <w:t>градской области</w:t>
      </w:r>
      <w:r w:rsidRPr="00386131">
        <w:rPr>
          <w:rFonts w:ascii="Arial" w:hAnsi="Arial" w:cs="Arial"/>
          <w:sz w:val="24"/>
          <w:szCs w:val="24"/>
        </w:rPr>
        <w:t>,</w:t>
      </w:r>
    </w:p>
    <w:p w:rsidR="009F4D4D" w:rsidRPr="009D14FD" w:rsidRDefault="009F4D4D" w:rsidP="009F4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D4D" w:rsidRPr="009D14FD" w:rsidRDefault="009F4D4D" w:rsidP="009F4D4D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F4D4D" w:rsidRPr="009D14FD" w:rsidRDefault="009F4D4D" w:rsidP="009F4D4D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9F4D4D" w:rsidRPr="00965657" w:rsidRDefault="00965657" w:rsidP="00AB1371">
      <w:pPr>
        <w:pStyle w:val="a7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5657">
        <w:rPr>
          <w:rFonts w:ascii="Arial" w:hAnsi="Arial" w:cs="Arial"/>
          <w:sz w:val="24"/>
          <w:szCs w:val="24"/>
        </w:rPr>
        <w:t xml:space="preserve">Внести изменение в </w:t>
      </w:r>
      <w:r w:rsidR="009F4D4D" w:rsidRPr="00965657">
        <w:rPr>
          <w:rFonts w:ascii="Arial" w:hAnsi="Arial" w:cs="Arial"/>
          <w:sz w:val="24"/>
          <w:szCs w:val="24"/>
        </w:rPr>
        <w:t xml:space="preserve">Базовые нормативы затрат </w:t>
      </w:r>
      <w:r w:rsidR="009F4D4D" w:rsidRPr="00965657">
        <w:rPr>
          <w:rFonts w:ascii="Arial" w:eastAsia="Calibri" w:hAnsi="Arial" w:cs="Arial"/>
          <w:sz w:val="24"/>
          <w:szCs w:val="24"/>
        </w:rPr>
        <w:t>на оказание муниц</w:t>
      </w:r>
      <w:r w:rsidR="009F4D4D" w:rsidRPr="00965657">
        <w:rPr>
          <w:rFonts w:ascii="Arial" w:eastAsia="Calibri" w:hAnsi="Arial" w:cs="Arial"/>
          <w:sz w:val="24"/>
          <w:szCs w:val="24"/>
        </w:rPr>
        <w:t>и</w:t>
      </w:r>
      <w:r w:rsidR="009F4D4D" w:rsidRPr="00965657">
        <w:rPr>
          <w:rFonts w:ascii="Arial" w:eastAsia="Calibri" w:hAnsi="Arial" w:cs="Arial"/>
          <w:sz w:val="24"/>
          <w:szCs w:val="24"/>
        </w:rPr>
        <w:t>пальных услуг муниципальными бюджетными (автономными) учреждениями Светлоярского муниципального района Волгоградской области за счет средств бюджета Светлоярского муниципального района Волгоградской области на 202</w:t>
      </w:r>
      <w:r w:rsidR="004438DB" w:rsidRPr="00965657">
        <w:rPr>
          <w:rFonts w:ascii="Arial" w:eastAsia="Calibri" w:hAnsi="Arial" w:cs="Arial"/>
          <w:sz w:val="24"/>
          <w:szCs w:val="24"/>
        </w:rPr>
        <w:t>3</w:t>
      </w:r>
      <w:r w:rsidR="009F4D4D" w:rsidRPr="00965657">
        <w:rPr>
          <w:rFonts w:ascii="Arial" w:eastAsia="Calibri" w:hAnsi="Arial" w:cs="Arial"/>
          <w:sz w:val="24"/>
          <w:szCs w:val="24"/>
        </w:rPr>
        <w:t xml:space="preserve"> год</w:t>
      </w:r>
      <w:r w:rsidR="004438DB" w:rsidRPr="00965657">
        <w:rPr>
          <w:rFonts w:ascii="Arial" w:eastAsia="Calibri" w:hAnsi="Arial" w:cs="Arial"/>
          <w:sz w:val="24"/>
          <w:szCs w:val="24"/>
        </w:rPr>
        <w:t>, утвержденные постановлением администрации</w:t>
      </w:r>
      <w:r w:rsidR="009F4D4D" w:rsidRPr="009656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438DB" w:rsidRPr="00965657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4438DB" w:rsidRPr="00965657">
        <w:rPr>
          <w:rFonts w:ascii="Arial" w:eastAsia="Calibri" w:hAnsi="Arial" w:cs="Arial"/>
          <w:sz w:val="24"/>
          <w:szCs w:val="24"/>
        </w:rPr>
        <w:t xml:space="preserve"> мун</w:t>
      </w:r>
      <w:r w:rsidR="004438DB" w:rsidRPr="00965657">
        <w:rPr>
          <w:rFonts w:ascii="Arial" w:eastAsia="Calibri" w:hAnsi="Arial" w:cs="Arial"/>
          <w:sz w:val="24"/>
          <w:szCs w:val="24"/>
        </w:rPr>
        <w:t>и</w:t>
      </w:r>
      <w:r w:rsidR="004438DB" w:rsidRPr="00965657">
        <w:rPr>
          <w:rFonts w:ascii="Arial" w:eastAsia="Calibri" w:hAnsi="Arial" w:cs="Arial"/>
          <w:sz w:val="24"/>
          <w:szCs w:val="24"/>
        </w:rPr>
        <w:t>ципального района от 29.12.2022 № 2286 «Об утверждении Базовых нормат</w:t>
      </w:r>
      <w:r w:rsidR="004438DB" w:rsidRPr="00965657">
        <w:rPr>
          <w:rFonts w:ascii="Arial" w:eastAsia="Calibri" w:hAnsi="Arial" w:cs="Arial"/>
          <w:sz w:val="24"/>
          <w:szCs w:val="24"/>
        </w:rPr>
        <w:t>и</w:t>
      </w:r>
      <w:r w:rsidR="004438DB" w:rsidRPr="00965657">
        <w:rPr>
          <w:rFonts w:ascii="Arial" w:eastAsia="Calibri" w:hAnsi="Arial" w:cs="Arial"/>
          <w:sz w:val="24"/>
          <w:szCs w:val="24"/>
        </w:rPr>
        <w:t>вов затрат на оказание муниципальных услуг, выполнение работ муниципал</w:t>
      </w:r>
      <w:r w:rsidR="004438DB" w:rsidRPr="00965657">
        <w:rPr>
          <w:rFonts w:ascii="Arial" w:eastAsia="Calibri" w:hAnsi="Arial" w:cs="Arial"/>
          <w:sz w:val="24"/>
          <w:szCs w:val="24"/>
        </w:rPr>
        <w:t>ь</w:t>
      </w:r>
      <w:r w:rsidR="004438DB" w:rsidRPr="00965657">
        <w:rPr>
          <w:rFonts w:ascii="Arial" w:eastAsia="Calibri" w:hAnsi="Arial" w:cs="Arial"/>
          <w:sz w:val="24"/>
          <w:szCs w:val="24"/>
        </w:rPr>
        <w:t xml:space="preserve">ными бюджетными (автономными) учреждениями </w:t>
      </w:r>
      <w:proofErr w:type="spellStart"/>
      <w:r w:rsidR="004438DB" w:rsidRPr="00965657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4438DB" w:rsidRPr="00965657">
        <w:rPr>
          <w:rFonts w:ascii="Arial" w:eastAsia="Calibri" w:hAnsi="Arial" w:cs="Arial"/>
          <w:sz w:val="24"/>
          <w:szCs w:val="24"/>
        </w:rPr>
        <w:t xml:space="preserve"> муниципал</w:t>
      </w:r>
      <w:r w:rsidR="004438DB" w:rsidRPr="00965657">
        <w:rPr>
          <w:rFonts w:ascii="Arial" w:eastAsia="Calibri" w:hAnsi="Arial" w:cs="Arial"/>
          <w:sz w:val="24"/>
          <w:szCs w:val="24"/>
        </w:rPr>
        <w:t>ь</w:t>
      </w:r>
      <w:r w:rsidR="004438DB" w:rsidRPr="00965657">
        <w:rPr>
          <w:rFonts w:ascii="Arial" w:eastAsia="Calibri" w:hAnsi="Arial" w:cs="Arial"/>
          <w:sz w:val="24"/>
          <w:szCs w:val="24"/>
        </w:rPr>
        <w:t xml:space="preserve">ного района Волгоградской области и </w:t>
      </w:r>
      <w:proofErr w:type="spellStart"/>
      <w:r w:rsidR="004438DB" w:rsidRPr="00965657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4438DB" w:rsidRPr="00965657"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proofErr w:type="spellStart"/>
      <w:r w:rsidR="00AB1371">
        <w:rPr>
          <w:rFonts w:ascii="Arial" w:eastAsia="Calibri" w:hAnsi="Arial" w:cs="Arial"/>
          <w:sz w:val="24"/>
          <w:szCs w:val="24"/>
        </w:rPr>
        <w:t>С</w:t>
      </w:r>
      <w:r w:rsidR="004438DB" w:rsidRPr="00965657">
        <w:rPr>
          <w:rFonts w:ascii="Arial" w:eastAsia="Calibri" w:hAnsi="Arial" w:cs="Arial"/>
          <w:sz w:val="24"/>
          <w:szCs w:val="24"/>
        </w:rPr>
        <w:t>ветлоярского</w:t>
      </w:r>
      <w:proofErr w:type="spellEnd"/>
      <w:r w:rsidR="004438DB" w:rsidRPr="00965657">
        <w:rPr>
          <w:rFonts w:ascii="Arial" w:eastAsia="Calibri" w:hAnsi="Arial" w:cs="Arial"/>
          <w:sz w:val="24"/>
          <w:szCs w:val="24"/>
        </w:rPr>
        <w:t xml:space="preserve"> муниципального</w:t>
      </w:r>
      <w:r w:rsidRPr="00965657">
        <w:rPr>
          <w:rFonts w:ascii="Arial" w:eastAsia="Calibri" w:hAnsi="Arial" w:cs="Arial"/>
          <w:sz w:val="24"/>
          <w:szCs w:val="24"/>
        </w:rPr>
        <w:t xml:space="preserve"> </w:t>
      </w:r>
      <w:r w:rsidR="004438DB" w:rsidRPr="00965657">
        <w:rPr>
          <w:rFonts w:ascii="Arial" w:eastAsia="Calibri" w:hAnsi="Arial" w:cs="Arial"/>
          <w:sz w:val="24"/>
          <w:szCs w:val="24"/>
        </w:rPr>
        <w:t xml:space="preserve">района Волгоградской области, за счет средств бюджета </w:t>
      </w:r>
      <w:proofErr w:type="spellStart"/>
      <w:r w:rsidR="004438DB" w:rsidRPr="00965657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4438DB" w:rsidRPr="00965657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и бю</w:t>
      </w:r>
      <w:r w:rsidR="004438DB" w:rsidRPr="00965657">
        <w:rPr>
          <w:rFonts w:ascii="Arial" w:eastAsia="Calibri" w:hAnsi="Arial" w:cs="Arial"/>
          <w:sz w:val="24"/>
          <w:szCs w:val="24"/>
        </w:rPr>
        <w:t>д</w:t>
      </w:r>
      <w:r w:rsidR="004438DB" w:rsidRPr="00965657">
        <w:rPr>
          <w:rFonts w:ascii="Arial" w:eastAsia="Calibri" w:hAnsi="Arial" w:cs="Arial"/>
          <w:sz w:val="24"/>
          <w:szCs w:val="24"/>
        </w:rPr>
        <w:t xml:space="preserve">жета </w:t>
      </w:r>
      <w:proofErr w:type="spellStart"/>
      <w:r w:rsidR="004438DB" w:rsidRPr="00965657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965657">
        <w:rPr>
          <w:rFonts w:ascii="Arial" w:eastAsia="Calibri" w:hAnsi="Arial" w:cs="Arial"/>
          <w:sz w:val="24"/>
          <w:szCs w:val="24"/>
        </w:rPr>
        <w:t xml:space="preserve"> </w:t>
      </w:r>
      <w:r w:rsidR="004438DB" w:rsidRPr="00965657">
        <w:rPr>
          <w:rFonts w:ascii="Arial" w:eastAsia="Calibri" w:hAnsi="Arial" w:cs="Arial"/>
          <w:sz w:val="24"/>
          <w:szCs w:val="24"/>
        </w:rPr>
        <w:t xml:space="preserve">городского поселения </w:t>
      </w:r>
      <w:proofErr w:type="spellStart"/>
      <w:r w:rsidR="004438DB" w:rsidRPr="00965657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4438DB" w:rsidRPr="00965657">
        <w:rPr>
          <w:rFonts w:ascii="Arial" w:eastAsia="Calibri" w:hAnsi="Arial" w:cs="Arial"/>
          <w:sz w:val="24"/>
          <w:szCs w:val="24"/>
        </w:rPr>
        <w:t xml:space="preserve"> муниципального ра</w:t>
      </w:r>
      <w:r w:rsidR="004438DB" w:rsidRPr="00965657">
        <w:rPr>
          <w:rFonts w:ascii="Arial" w:eastAsia="Calibri" w:hAnsi="Arial" w:cs="Arial"/>
          <w:sz w:val="24"/>
          <w:szCs w:val="24"/>
        </w:rPr>
        <w:t>й</w:t>
      </w:r>
      <w:r w:rsidR="004438DB" w:rsidRPr="00965657">
        <w:rPr>
          <w:rFonts w:ascii="Arial" w:eastAsia="Calibri" w:hAnsi="Arial" w:cs="Arial"/>
          <w:sz w:val="24"/>
          <w:szCs w:val="24"/>
        </w:rPr>
        <w:t>она Волгоградской области на 2023 год</w:t>
      </w:r>
      <w:r w:rsidR="006365BE">
        <w:rPr>
          <w:rFonts w:ascii="Arial" w:eastAsia="Calibri" w:hAnsi="Arial" w:cs="Arial"/>
          <w:sz w:val="24"/>
          <w:szCs w:val="24"/>
        </w:rPr>
        <w:t>»</w:t>
      </w:r>
      <w:r w:rsidR="002A1311">
        <w:rPr>
          <w:rFonts w:ascii="Arial" w:eastAsia="Calibri" w:hAnsi="Arial" w:cs="Arial"/>
          <w:sz w:val="24"/>
          <w:szCs w:val="24"/>
        </w:rPr>
        <w:t xml:space="preserve">, </w:t>
      </w:r>
      <w:r w:rsidR="00F74A13">
        <w:rPr>
          <w:rFonts w:ascii="Arial" w:eastAsia="Calibri" w:hAnsi="Arial" w:cs="Arial"/>
          <w:sz w:val="24"/>
          <w:szCs w:val="24"/>
        </w:rPr>
        <w:t xml:space="preserve">изложив </w:t>
      </w:r>
      <w:r w:rsidR="00B97B43">
        <w:rPr>
          <w:rFonts w:ascii="Arial" w:eastAsia="Calibri" w:hAnsi="Arial" w:cs="Arial"/>
          <w:sz w:val="24"/>
          <w:szCs w:val="24"/>
        </w:rPr>
        <w:t>услугу с уникальным ном</w:t>
      </w:r>
      <w:r w:rsidR="00B97B43">
        <w:rPr>
          <w:rFonts w:ascii="Arial" w:eastAsia="Calibri" w:hAnsi="Arial" w:cs="Arial"/>
          <w:sz w:val="24"/>
          <w:szCs w:val="24"/>
        </w:rPr>
        <w:t>е</w:t>
      </w:r>
      <w:r w:rsidR="00B97B43">
        <w:rPr>
          <w:rFonts w:ascii="Arial" w:eastAsia="Calibri" w:hAnsi="Arial" w:cs="Arial"/>
          <w:sz w:val="24"/>
          <w:szCs w:val="24"/>
        </w:rPr>
        <w:t>ром реестровой записи по общероссийскому базовому перечню 920700О.99.0А322АА00001</w:t>
      </w:r>
      <w:r w:rsidR="00F74A13">
        <w:rPr>
          <w:rFonts w:ascii="Arial" w:eastAsia="Calibri" w:hAnsi="Arial" w:cs="Arial"/>
          <w:sz w:val="24"/>
          <w:szCs w:val="24"/>
        </w:rPr>
        <w:t xml:space="preserve"> в новой редакции </w:t>
      </w:r>
      <w:r w:rsidR="002A1311">
        <w:rPr>
          <w:rFonts w:ascii="Arial" w:eastAsia="Calibri" w:hAnsi="Arial" w:cs="Arial"/>
          <w:sz w:val="24"/>
          <w:szCs w:val="24"/>
        </w:rPr>
        <w:t>согласно приложению к насто</w:t>
      </w:r>
      <w:r w:rsidR="002A1311">
        <w:rPr>
          <w:rFonts w:ascii="Arial" w:eastAsia="Calibri" w:hAnsi="Arial" w:cs="Arial"/>
          <w:sz w:val="24"/>
          <w:szCs w:val="24"/>
        </w:rPr>
        <w:t>я</w:t>
      </w:r>
      <w:r w:rsidR="002A1311">
        <w:rPr>
          <w:rFonts w:ascii="Arial" w:eastAsia="Calibri" w:hAnsi="Arial" w:cs="Arial"/>
          <w:sz w:val="24"/>
          <w:szCs w:val="24"/>
        </w:rPr>
        <w:t>щему постановлению.</w:t>
      </w:r>
    </w:p>
    <w:p w:rsidR="009F4D4D" w:rsidRPr="001E0A5C" w:rsidRDefault="009F4D4D" w:rsidP="00FB3BD9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D4D" w:rsidRPr="00FB3BD9" w:rsidRDefault="009F4D4D" w:rsidP="00FB3BD9">
      <w:pPr>
        <w:pStyle w:val="a7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3BD9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FB3BD9">
        <w:rPr>
          <w:rFonts w:ascii="Arial" w:hAnsi="Arial" w:cs="Arial"/>
          <w:sz w:val="24"/>
          <w:szCs w:val="24"/>
        </w:rPr>
        <w:t>д</w:t>
      </w:r>
      <w:r w:rsidRPr="00FB3BD9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(Иванова Н.В.) направить настоящее постановление для размещения на оф</w:t>
      </w:r>
      <w:r w:rsidRPr="00FB3BD9">
        <w:rPr>
          <w:rFonts w:ascii="Arial" w:hAnsi="Arial" w:cs="Arial"/>
          <w:sz w:val="24"/>
          <w:szCs w:val="24"/>
        </w:rPr>
        <w:t>и</w:t>
      </w:r>
      <w:r w:rsidRPr="00FB3BD9">
        <w:rPr>
          <w:rFonts w:ascii="Arial" w:hAnsi="Arial" w:cs="Arial"/>
          <w:sz w:val="24"/>
          <w:szCs w:val="24"/>
        </w:rPr>
        <w:lastRenderedPageBreak/>
        <w:t>циальном сайте Светлоярского муниципального района Волгоградской области в сети «Интернет».</w:t>
      </w:r>
    </w:p>
    <w:p w:rsidR="009F4D4D" w:rsidRPr="00386131" w:rsidRDefault="009F4D4D" w:rsidP="00FB3BD9">
      <w:pPr>
        <w:pStyle w:val="a7"/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4D4D" w:rsidRPr="00FB3BD9" w:rsidRDefault="009F4D4D" w:rsidP="00FB3BD9">
      <w:pPr>
        <w:pStyle w:val="a7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3BD9">
        <w:rPr>
          <w:rFonts w:ascii="Arial" w:hAnsi="Arial" w:cs="Arial"/>
          <w:sz w:val="24"/>
          <w:szCs w:val="24"/>
        </w:rPr>
        <w:t>Отделу бюджетно-финансовой политики администрации Светлоя</w:t>
      </w:r>
      <w:r w:rsidRPr="00FB3BD9">
        <w:rPr>
          <w:rFonts w:ascii="Arial" w:hAnsi="Arial" w:cs="Arial"/>
          <w:sz w:val="24"/>
          <w:szCs w:val="24"/>
        </w:rPr>
        <w:t>р</w:t>
      </w:r>
      <w:r w:rsidRPr="00FB3BD9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(Коптева Е.Н.) </w:t>
      </w:r>
      <w:proofErr w:type="gramStart"/>
      <w:r w:rsidRPr="00FB3BD9">
        <w:rPr>
          <w:rFonts w:ascii="Arial" w:hAnsi="Arial" w:cs="Arial"/>
          <w:sz w:val="24"/>
          <w:szCs w:val="24"/>
        </w:rPr>
        <w:t>разместить</w:t>
      </w:r>
      <w:proofErr w:type="gramEnd"/>
      <w:r w:rsidRPr="00FB3BD9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официального сайта Све</w:t>
      </w:r>
      <w:r w:rsidRPr="00FB3BD9">
        <w:rPr>
          <w:rFonts w:ascii="Arial" w:hAnsi="Arial" w:cs="Arial"/>
          <w:sz w:val="24"/>
          <w:szCs w:val="24"/>
        </w:rPr>
        <w:t>т</w:t>
      </w:r>
      <w:r w:rsidRPr="00FB3BD9">
        <w:rPr>
          <w:rFonts w:ascii="Arial" w:hAnsi="Arial" w:cs="Arial"/>
          <w:sz w:val="24"/>
          <w:szCs w:val="24"/>
        </w:rPr>
        <w:t>лоярского муниципального района Волгоградской области.</w:t>
      </w:r>
    </w:p>
    <w:p w:rsidR="009F4D4D" w:rsidRPr="00386131" w:rsidRDefault="009F4D4D" w:rsidP="00FB3BD9">
      <w:pPr>
        <w:pStyle w:val="a7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9F4D4D" w:rsidRPr="00FB3BD9" w:rsidRDefault="009F4D4D" w:rsidP="00FB3BD9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3BD9">
        <w:rPr>
          <w:rFonts w:ascii="Arial" w:hAnsi="Arial" w:cs="Arial"/>
          <w:sz w:val="24"/>
          <w:szCs w:val="24"/>
        </w:rPr>
        <w:t xml:space="preserve">Настоящее постановление вступает </w:t>
      </w:r>
      <w:r w:rsidR="00FB3BD9">
        <w:rPr>
          <w:rFonts w:ascii="Arial" w:hAnsi="Arial" w:cs="Arial"/>
          <w:sz w:val="24"/>
          <w:szCs w:val="24"/>
        </w:rPr>
        <w:t>в силу с момента его подписания.</w:t>
      </w:r>
    </w:p>
    <w:p w:rsidR="009F4D4D" w:rsidRPr="00386131" w:rsidRDefault="009F4D4D" w:rsidP="00FB3BD9">
      <w:pPr>
        <w:pStyle w:val="a7"/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4D4D" w:rsidRPr="00FB3BD9" w:rsidRDefault="009F4D4D" w:rsidP="00FB3BD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3B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3BD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</w:t>
      </w:r>
      <w:r w:rsidRPr="00FB3BD9">
        <w:rPr>
          <w:rFonts w:ascii="Arial" w:hAnsi="Arial" w:cs="Arial"/>
          <w:sz w:val="24"/>
          <w:szCs w:val="24"/>
        </w:rPr>
        <w:t>б</w:t>
      </w:r>
      <w:r w:rsidRPr="00FB3BD9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FD4230" w:rsidRPr="00FB3BD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FD4230" w:rsidRPr="00FB3BD9">
        <w:rPr>
          <w:rFonts w:ascii="Arial" w:hAnsi="Arial" w:cs="Arial"/>
          <w:sz w:val="24"/>
          <w:szCs w:val="24"/>
        </w:rPr>
        <w:t xml:space="preserve"> О.И.</w:t>
      </w:r>
      <w:r w:rsidRPr="00FB3BD9">
        <w:rPr>
          <w:rFonts w:ascii="Arial" w:hAnsi="Arial" w:cs="Arial"/>
          <w:sz w:val="24"/>
          <w:szCs w:val="24"/>
        </w:rPr>
        <w:t xml:space="preserve"> </w:t>
      </w:r>
    </w:p>
    <w:p w:rsidR="009F4D4D" w:rsidRDefault="009F4D4D" w:rsidP="00FB3B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B79" w:rsidRDefault="002A2B79" w:rsidP="009F4D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BD9" w:rsidRPr="009D14FD" w:rsidRDefault="00FB3BD9" w:rsidP="009F4D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D4D" w:rsidRDefault="009F4D4D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</w:t>
      </w:r>
      <w:r w:rsidR="002A2B79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2A2B79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2A2B79" w:rsidRDefault="002A2B7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BD9" w:rsidRDefault="00FB3BD9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B1371" w:rsidRDefault="00AB1371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B1371" w:rsidRDefault="00AB1371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B1371" w:rsidRDefault="00AB1371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124A" w:rsidRDefault="00C8124A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124A" w:rsidRDefault="00C8124A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124A" w:rsidRDefault="00C8124A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124A" w:rsidRDefault="00C8124A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124A" w:rsidRDefault="00C8124A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124A" w:rsidRDefault="00C8124A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124A" w:rsidRDefault="00C8124A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124A" w:rsidRDefault="00C8124A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124A" w:rsidRDefault="00C8124A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124A" w:rsidRDefault="00C8124A" w:rsidP="002A2B7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F4D4D" w:rsidRDefault="009F4D4D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Абраменко Е.Н  </w:t>
      </w:r>
    </w:p>
    <w:p w:rsidR="00AB1371" w:rsidRDefault="00AB1371" w:rsidP="005D034A">
      <w:pPr>
        <w:jc w:val="both"/>
        <w:rPr>
          <w:rFonts w:ascii="Arial" w:hAnsi="Arial" w:cs="Arial"/>
          <w:sz w:val="20"/>
          <w:szCs w:val="20"/>
        </w:rPr>
        <w:sectPr w:rsidR="00AB1371" w:rsidSect="00B72F1C">
          <w:headerReference w:type="default" r:id="rId10"/>
          <w:pgSz w:w="11906" w:h="16838"/>
          <w:pgMar w:top="737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961"/>
      </w:tblGrid>
      <w:tr w:rsidR="009F4D4D" w:rsidRPr="00386131" w:rsidTr="009F4D4D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4D" w:rsidRPr="00386131" w:rsidRDefault="009F4D4D" w:rsidP="009F4D4D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4D" w:rsidRPr="00386131" w:rsidRDefault="009F4D4D" w:rsidP="009F4D4D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4D" w:rsidRPr="00386131" w:rsidRDefault="009F4D4D" w:rsidP="009F4D4D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4D" w:rsidRPr="00386131" w:rsidRDefault="009F4D4D" w:rsidP="009F4D4D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311" w:rsidRDefault="004558E3" w:rsidP="009F4D4D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ПРИЛОЖЕНИЕ </w:t>
            </w:r>
          </w:p>
          <w:p w:rsidR="004558E3" w:rsidRDefault="004558E3" w:rsidP="009F4D4D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 постановлению администрации</w:t>
            </w:r>
          </w:p>
          <w:p w:rsidR="004558E3" w:rsidRDefault="004558E3" w:rsidP="004558E3">
            <w:pPr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2A1311" w:rsidRDefault="004558E3" w:rsidP="004558E3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  <w:p w:rsidR="00F74A13" w:rsidRDefault="00F74A13" w:rsidP="004558E3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4558E3" w:rsidRDefault="004558E3" w:rsidP="004558E3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от </w:t>
            </w:r>
            <w:r w:rsidR="00450907">
              <w:rPr>
                <w:rFonts w:ascii="Arial" w:eastAsia="Arial Unicode MS" w:hAnsi="Arial" w:cs="Arial"/>
              </w:rPr>
              <w:t>25.12.2023</w:t>
            </w:r>
            <w:r>
              <w:rPr>
                <w:rFonts w:ascii="Arial" w:eastAsia="Arial Unicode MS" w:hAnsi="Arial" w:cs="Arial"/>
              </w:rPr>
              <w:t xml:space="preserve"> № </w:t>
            </w:r>
            <w:r w:rsidR="00450907">
              <w:rPr>
                <w:rFonts w:ascii="Arial" w:eastAsia="Arial Unicode MS" w:hAnsi="Arial" w:cs="Arial"/>
              </w:rPr>
              <w:t>1969</w:t>
            </w:r>
            <w:r>
              <w:rPr>
                <w:rFonts w:ascii="Arial" w:eastAsia="Arial Unicode MS" w:hAnsi="Arial" w:cs="Arial"/>
              </w:rPr>
              <w:t xml:space="preserve">  </w:t>
            </w:r>
          </w:p>
          <w:p w:rsidR="002A1311" w:rsidRDefault="002A1311" w:rsidP="009F4D4D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9F4D4D" w:rsidRDefault="002A1311" w:rsidP="009F4D4D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«</w:t>
            </w:r>
            <w:r w:rsidR="009F4D4D">
              <w:rPr>
                <w:rFonts w:ascii="Arial" w:eastAsia="Arial Unicode MS" w:hAnsi="Arial" w:cs="Arial"/>
              </w:rPr>
              <w:t>УТВЕРЖДЕНЫ</w:t>
            </w:r>
          </w:p>
          <w:p w:rsidR="009F4D4D" w:rsidRDefault="009F4D4D" w:rsidP="009F4D4D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Светлоярского муниципального района</w:t>
            </w:r>
          </w:p>
          <w:p w:rsidR="009F4D4D" w:rsidRPr="00386131" w:rsidRDefault="009F4D4D" w:rsidP="009F4D4D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9F4D4D" w:rsidRPr="00386131" w:rsidTr="009F4D4D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4D" w:rsidRPr="00386131" w:rsidRDefault="009F4D4D" w:rsidP="009F4D4D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4D" w:rsidRPr="00386131" w:rsidRDefault="009F4D4D" w:rsidP="009F4D4D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4D" w:rsidRPr="00386131" w:rsidRDefault="009F4D4D" w:rsidP="009F4D4D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4D" w:rsidRPr="00386131" w:rsidRDefault="009F4D4D" w:rsidP="009F4D4D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4D" w:rsidRPr="00386131" w:rsidRDefault="009F4D4D" w:rsidP="002A131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 w:rsidR="002A1311">
              <w:rPr>
                <w:rFonts w:ascii="Arial" w:eastAsia="Arial Unicode MS" w:hAnsi="Arial" w:cs="Arial"/>
              </w:rPr>
              <w:t>29.12.2022 № 2286</w:t>
            </w:r>
          </w:p>
        </w:tc>
      </w:tr>
    </w:tbl>
    <w:p w:rsidR="009F4D4D" w:rsidRPr="00386131" w:rsidRDefault="009F4D4D" w:rsidP="009F4D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4D4D" w:rsidRPr="007573CF" w:rsidRDefault="009F4D4D" w:rsidP="009F4D4D">
      <w:pPr>
        <w:pStyle w:val="ConsPlusNormal"/>
        <w:jc w:val="center"/>
        <w:rPr>
          <w:rFonts w:ascii="Arial" w:eastAsia="Calibri" w:hAnsi="Arial" w:cs="Arial"/>
          <w:szCs w:val="22"/>
        </w:rPr>
      </w:pPr>
      <w:r w:rsidRPr="007573CF">
        <w:rPr>
          <w:rFonts w:ascii="Arial" w:hAnsi="Arial" w:cs="Arial"/>
          <w:szCs w:val="22"/>
        </w:rPr>
        <w:t xml:space="preserve">Базовые нормативы затрат </w:t>
      </w:r>
      <w:r w:rsidRPr="007573CF">
        <w:rPr>
          <w:rFonts w:ascii="Arial" w:eastAsia="Calibri" w:hAnsi="Arial" w:cs="Arial"/>
          <w:szCs w:val="22"/>
        </w:rPr>
        <w:t>на оказание муниципальных услуг</w:t>
      </w:r>
    </w:p>
    <w:p w:rsidR="009F4D4D" w:rsidRPr="007573CF" w:rsidRDefault="009F4D4D" w:rsidP="009F4D4D">
      <w:pPr>
        <w:pStyle w:val="ConsPlusNormal"/>
        <w:jc w:val="center"/>
        <w:rPr>
          <w:rFonts w:ascii="Arial" w:eastAsia="Calibri" w:hAnsi="Arial" w:cs="Arial"/>
          <w:szCs w:val="22"/>
        </w:rPr>
      </w:pPr>
      <w:r w:rsidRPr="007573CF">
        <w:rPr>
          <w:rFonts w:ascii="Arial" w:eastAsia="Calibri" w:hAnsi="Arial" w:cs="Arial"/>
          <w:szCs w:val="22"/>
        </w:rPr>
        <w:t xml:space="preserve">муниципальными бюджетными (автономными) учреждениями Светлоярского муниципального района Волгоградской области </w:t>
      </w:r>
    </w:p>
    <w:p w:rsidR="009F4D4D" w:rsidRPr="007573CF" w:rsidRDefault="009F4D4D" w:rsidP="009F4D4D">
      <w:pPr>
        <w:pStyle w:val="ConsPlusNormal"/>
        <w:jc w:val="center"/>
        <w:rPr>
          <w:rFonts w:ascii="Arial" w:eastAsia="Calibri" w:hAnsi="Arial" w:cs="Arial"/>
          <w:szCs w:val="22"/>
        </w:rPr>
      </w:pPr>
      <w:r w:rsidRPr="007573CF">
        <w:rPr>
          <w:rFonts w:ascii="Arial" w:eastAsia="Calibri" w:hAnsi="Arial" w:cs="Arial"/>
          <w:szCs w:val="22"/>
        </w:rPr>
        <w:t>за счет средств бюджета Светлоярского муниципального района Волгоградской области на 202</w:t>
      </w:r>
      <w:r w:rsidR="00FB3BD9">
        <w:rPr>
          <w:rFonts w:ascii="Arial" w:eastAsia="Calibri" w:hAnsi="Arial" w:cs="Arial"/>
          <w:szCs w:val="22"/>
        </w:rPr>
        <w:t>3</w:t>
      </w:r>
      <w:r w:rsidRPr="007573CF">
        <w:rPr>
          <w:rFonts w:ascii="Arial" w:eastAsia="Calibri" w:hAnsi="Arial" w:cs="Arial"/>
          <w:szCs w:val="22"/>
        </w:rPr>
        <w:t xml:space="preserve"> год</w:t>
      </w:r>
    </w:p>
    <w:p w:rsidR="009F4D4D" w:rsidRPr="00386131" w:rsidRDefault="009F4D4D" w:rsidP="009F4D4D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993"/>
        <w:gridCol w:w="850"/>
        <w:gridCol w:w="851"/>
        <w:gridCol w:w="850"/>
        <w:gridCol w:w="851"/>
        <w:gridCol w:w="850"/>
        <w:gridCol w:w="876"/>
        <w:gridCol w:w="850"/>
        <w:gridCol w:w="851"/>
        <w:gridCol w:w="678"/>
        <w:gridCol w:w="572"/>
        <w:gridCol w:w="855"/>
        <w:gridCol w:w="705"/>
      </w:tblGrid>
      <w:tr w:rsidR="009F4D4D" w:rsidRPr="007573CF" w:rsidTr="00F74A13">
        <w:tc>
          <w:tcPr>
            <w:tcW w:w="1560" w:type="dxa"/>
            <w:vMerge w:val="restart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Уникальный номер реес</w:t>
            </w:r>
            <w:r w:rsidRPr="007573CF">
              <w:rPr>
                <w:rFonts w:ascii="Arial" w:hAnsi="Arial" w:cs="Arial"/>
                <w:sz w:val="20"/>
              </w:rPr>
              <w:t>т</w:t>
            </w:r>
            <w:r w:rsidRPr="007573CF">
              <w:rPr>
                <w:rFonts w:ascii="Arial" w:hAnsi="Arial" w:cs="Arial"/>
                <w:sz w:val="20"/>
              </w:rPr>
              <w:t>ровой записи по общеро</w:t>
            </w:r>
            <w:r w:rsidRPr="007573CF">
              <w:rPr>
                <w:rFonts w:ascii="Arial" w:hAnsi="Arial" w:cs="Arial"/>
                <w:sz w:val="20"/>
              </w:rPr>
              <w:t>с</w:t>
            </w:r>
            <w:r w:rsidRPr="007573CF">
              <w:rPr>
                <w:rFonts w:ascii="Arial" w:hAnsi="Arial" w:cs="Arial"/>
                <w:sz w:val="20"/>
              </w:rPr>
              <w:t>сийскому б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зовому п</w:t>
            </w:r>
            <w:r w:rsidRPr="007573CF">
              <w:rPr>
                <w:rFonts w:ascii="Arial" w:hAnsi="Arial" w:cs="Arial"/>
                <w:sz w:val="20"/>
              </w:rPr>
              <w:t>е</w:t>
            </w:r>
            <w:r w:rsidRPr="007573CF">
              <w:rPr>
                <w:rFonts w:ascii="Arial" w:hAnsi="Arial" w:cs="Arial"/>
                <w:sz w:val="20"/>
              </w:rPr>
              <w:t>речню</w:t>
            </w:r>
          </w:p>
        </w:tc>
        <w:tc>
          <w:tcPr>
            <w:tcW w:w="1701" w:type="dxa"/>
            <w:vMerge w:val="restart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Показатель отраслевой специфики</w:t>
            </w:r>
          </w:p>
        </w:tc>
        <w:tc>
          <w:tcPr>
            <w:tcW w:w="993" w:type="dxa"/>
            <w:vMerge w:val="restart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Баз</w:t>
            </w:r>
            <w:r w:rsidRPr="007573CF">
              <w:rPr>
                <w:rFonts w:ascii="Arial" w:hAnsi="Arial" w:cs="Arial"/>
                <w:sz w:val="20"/>
              </w:rPr>
              <w:t>о</w:t>
            </w:r>
            <w:r w:rsidRPr="007573CF">
              <w:rPr>
                <w:rFonts w:ascii="Arial" w:hAnsi="Arial" w:cs="Arial"/>
                <w:sz w:val="20"/>
              </w:rPr>
              <w:t>вый норм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тив з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 xml:space="preserve">трат, руб. </w:t>
            </w:r>
          </w:p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на ед.</w:t>
            </w:r>
          </w:p>
        </w:tc>
        <w:tc>
          <w:tcPr>
            <w:tcW w:w="3402" w:type="dxa"/>
            <w:gridSpan w:val="4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  <w:lang w:val="en-US"/>
              </w:rPr>
              <w:t>NN</w:t>
            </w:r>
            <w:r w:rsidRPr="007573CF">
              <w:rPr>
                <w:rFonts w:ascii="Arial" w:hAnsi="Arial" w:cs="Arial"/>
                <w:sz w:val="20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237" w:type="dxa"/>
            <w:gridSpan w:val="8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NO (базовый норматив затрат на общехозяйственные нужды на оказание услуги)</w:t>
            </w:r>
          </w:p>
        </w:tc>
      </w:tr>
      <w:tr w:rsidR="009F4D4D" w:rsidRPr="007573CF" w:rsidTr="00F74A13">
        <w:tc>
          <w:tcPr>
            <w:tcW w:w="1560" w:type="dxa"/>
            <w:vMerge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Merge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573CF">
              <w:rPr>
                <w:rFonts w:ascii="Arial" w:hAnsi="Arial" w:cs="Arial"/>
                <w:sz w:val="20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color w:val="052635"/>
                <w:sz w:val="20"/>
                <w:shd w:val="clear" w:color="auto" w:fill="FFFFFF"/>
              </w:rPr>
            </w:pPr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  <w:lang w:val="en-US"/>
              </w:rPr>
              <w:t>NN</w:t>
            </w:r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color w:val="052635"/>
                <w:sz w:val="20"/>
                <w:shd w:val="clear" w:color="auto" w:fill="FFFFFF"/>
              </w:rPr>
            </w:pPr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  <w:lang w:val="en-US"/>
              </w:rPr>
              <w:t>NN</w:t>
            </w:r>
            <w:proofErr w:type="spellStart"/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  <w:lang w:val="en-US"/>
              </w:rPr>
              <w:t>NN</w:t>
            </w:r>
            <w:proofErr w:type="spellStart"/>
            <w:r w:rsidRPr="007573CF">
              <w:rPr>
                <w:rFonts w:ascii="Arial" w:hAnsi="Arial" w:cs="Arial"/>
                <w:color w:val="052635"/>
                <w:sz w:val="20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9F4D4D" w:rsidRPr="007573CF" w:rsidRDefault="009F4D4D" w:rsidP="009F4D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573CF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9F4D4D" w:rsidRPr="007573CF" w:rsidRDefault="009F4D4D" w:rsidP="009F4D4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9F4D4D" w:rsidRPr="007573CF" w:rsidRDefault="009F4D4D" w:rsidP="009F4D4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9F4D4D" w:rsidRPr="007573CF" w:rsidRDefault="009F4D4D" w:rsidP="009F4D4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9F4D4D" w:rsidRPr="007573CF" w:rsidRDefault="009F4D4D" w:rsidP="009F4D4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</w:t>
            </w:r>
            <w:r w:rsidRPr="007573CF">
              <w:rPr>
                <w:rFonts w:ascii="Arial" w:hAnsi="Arial" w:cs="Arial"/>
                <w:color w:val="000000"/>
              </w:rPr>
              <w:t>ус</w:t>
            </w:r>
            <w:proofErr w:type="spellEnd"/>
          </w:p>
        </w:tc>
        <w:tc>
          <w:tcPr>
            <w:tcW w:w="572" w:type="dxa"/>
            <w:vAlign w:val="center"/>
          </w:tcPr>
          <w:p w:rsidR="009F4D4D" w:rsidRPr="007573CF" w:rsidRDefault="009F4D4D" w:rsidP="009F4D4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9F4D4D" w:rsidRPr="007573CF" w:rsidRDefault="009F4D4D" w:rsidP="009F4D4D">
            <w:pPr>
              <w:jc w:val="center"/>
              <w:rPr>
                <w:rFonts w:ascii="Arial" w:hAnsi="Arial" w:cs="Arial"/>
                <w:color w:val="000000"/>
              </w:rPr>
            </w:pPr>
            <w:r w:rsidRPr="007573CF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705" w:type="dxa"/>
            <w:vAlign w:val="center"/>
          </w:tcPr>
          <w:p w:rsidR="009F4D4D" w:rsidRPr="007573CF" w:rsidRDefault="009F4D4D" w:rsidP="009F4D4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573CF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7573CF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9F4D4D" w:rsidRPr="007573CF" w:rsidTr="00F74A13">
        <w:tc>
          <w:tcPr>
            <w:tcW w:w="1560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8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3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76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0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1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78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72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55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05" w:type="dxa"/>
          </w:tcPr>
          <w:p w:rsidR="009F4D4D" w:rsidRPr="007573CF" w:rsidRDefault="009F4D4D" w:rsidP="009F4D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16</w:t>
            </w:r>
          </w:p>
        </w:tc>
      </w:tr>
      <w:tr w:rsidR="00FB3BD9" w:rsidRPr="007573CF" w:rsidTr="00F74A13">
        <w:tc>
          <w:tcPr>
            <w:tcW w:w="1560" w:type="dxa"/>
          </w:tcPr>
          <w:p w:rsidR="00FB3BD9" w:rsidRPr="007573CF" w:rsidRDefault="00FB3BD9" w:rsidP="000978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920700О.99.0А322АА00001</w:t>
            </w:r>
          </w:p>
        </w:tc>
        <w:tc>
          <w:tcPr>
            <w:tcW w:w="1701" w:type="dxa"/>
          </w:tcPr>
          <w:p w:rsidR="00FB3BD9" w:rsidRPr="007573CF" w:rsidRDefault="00FB3BD9" w:rsidP="000978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Организация отдыха детей и молодежи</w:t>
            </w:r>
          </w:p>
        </w:tc>
        <w:tc>
          <w:tcPr>
            <w:tcW w:w="1418" w:type="dxa"/>
          </w:tcPr>
          <w:p w:rsidR="00FB3BD9" w:rsidRPr="007573CF" w:rsidRDefault="00FB3BD9" w:rsidP="0009782D">
            <w:pPr>
              <w:pStyle w:val="ConsPlusNormal"/>
              <w:ind w:left="-109" w:right="-108" w:firstLine="109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в каникуля</w:t>
            </w:r>
            <w:r w:rsidRPr="007573CF">
              <w:rPr>
                <w:rFonts w:ascii="Arial" w:hAnsi="Arial" w:cs="Arial"/>
                <w:sz w:val="20"/>
              </w:rPr>
              <w:t>р</w:t>
            </w:r>
            <w:r w:rsidRPr="007573CF">
              <w:rPr>
                <w:rFonts w:ascii="Arial" w:hAnsi="Arial" w:cs="Arial"/>
                <w:sz w:val="20"/>
              </w:rPr>
              <w:t>ное время с круглосуто</w:t>
            </w:r>
            <w:r w:rsidRPr="007573CF">
              <w:rPr>
                <w:rFonts w:ascii="Arial" w:hAnsi="Arial" w:cs="Arial"/>
                <w:sz w:val="20"/>
              </w:rPr>
              <w:t>ч</w:t>
            </w:r>
            <w:r w:rsidRPr="007573CF">
              <w:rPr>
                <w:rFonts w:ascii="Arial" w:hAnsi="Arial" w:cs="Arial"/>
                <w:sz w:val="20"/>
              </w:rPr>
              <w:t>ным пребыв</w:t>
            </w:r>
            <w:r w:rsidRPr="007573CF">
              <w:rPr>
                <w:rFonts w:ascii="Arial" w:hAnsi="Arial" w:cs="Arial"/>
                <w:sz w:val="20"/>
              </w:rPr>
              <w:t>а</w:t>
            </w:r>
            <w:r w:rsidRPr="007573CF">
              <w:rPr>
                <w:rFonts w:ascii="Arial" w:hAnsi="Arial" w:cs="Arial"/>
                <w:sz w:val="20"/>
              </w:rPr>
              <w:t>нием</w:t>
            </w:r>
          </w:p>
          <w:p w:rsidR="00FB3BD9" w:rsidRPr="007573CF" w:rsidRDefault="00FB3BD9" w:rsidP="00FB3BD9">
            <w:pPr>
              <w:pStyle w:val="ConsPlusNormal"/>
              <w:ind w:left="-109" w:right="-108" w:firstLine="109"/>
              <w:jc w:val="center"/>
              <w:rPr>
                <w:rFonts w:ascii="Arial" w:hAnsi="Arial" w:cs="Arial"/>
                <w:sz w:val="20"/>
              </w:rPr>
            </w:pPr>
            <w:r w:rsidRPr="007573CF">
              <w:rPr>
                <w:rFonts w:ascii="Arial" w:hAnsi="Arial" w:cs="Arial"/>
                <w:sz w:val="20"/>
              </w:rPr>
              <w:t>(человек)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FB3BD9" w:rsidRPr="007573CF" w:rsidRDefault="00FB3BD9" w:rsidP="0009782D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18558,70</w:t>
            </w:r>
          </w:p>
        </w:tc>
        <w:tc>
          <w:tcPr>
            <w:tcW w:w="850" w:type="dxa"/>
          </w:tcPr>
          <w:p w:rsidR="00FB3BD9" w:rsidRPr="007573CF" w:rsidRDefault="00FB3BD9" w:rsidP="0009782D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13936,80</w:t>
            </w:r>
          </w:p>
        </w:tc>
        <w:tc>
          <w:tcPr>
            <w:tcW w:w="851" w:type="dxa"/>
          </w:tcPr>
          <w:p w:rsidR="00FB3BD9" w:rsidRPr="007573CF" w:rsidRDefault="00FB3BD9" w:rsidP="0009782D">
            <w:pPr>
              <w:pStyle w:val="ConsPlusNormal"/>
              <w:ind w:right="-107" w:hanging="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3884,70</w:t>
            </w:r>
          </w:p>
        </w:tc>
        <w:tc>
          <w:tcPr>
            <w:tcW w:w="850" w:type="dxa"/>
          </w:tcPr>
          <w:p w:rsidR="00FB3BD9" w:rsidRPr="007573CF" w:rsidRDefault="00FB3BD9" w:rsidP="0009782D">
            <w:pPr>
              <w:pStyle w:val="ConsPlusNormal"/>
              <w:ind w:right="-108" w:hanging="10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9076,90</w:t>
            </w:r>
          </w:p>
        </w:tc>
        <w:tc>
          <w:tcPr>
            <w:tcW w:w="851" w:type="dxa"/>
          </w:tcPr>
          <w:p w:rsidR="00FB3BD9" w:rsidRPr="007573CF" w:rsidRDefault="00FB3BD9" w:rsidP="0009782D">
            <w:pPr>
              <w:pStyle w:val="ConsPlusNormal"/>
              <w:ind w:left="-108" w:right="-10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975,20</w:t>
            </w:r>
          </w:p>
        </w:tc>
        <w:tc>
          <w:tcPr>
            <w:tcW w:w="850" w:type="dxa"/>
          </w:tcPr>
          <w:p w:rsidR="00FB3BD9" w:rsidRPr="007573CF" w:rsidRDefault="00FB3BD9" w:rsidP="000978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4621,90</w:t>
            </w:r>
          </w:p>
        </w:tc>
        <w:tc>
          <w:tcPr>
            <w:tcW w:w="876" w:type="dxa"/>
          </w:tcPr>
          <w:p w:rsidR="00FB3BD9" w:rsidRPr="007573CF" w:rsidRDefault="00FB3BD9" w:rsidP="0009782D">
            <w:pPr>
              <w:pStyle w:val="ConsPlusNormal"/>
              <w:ind w:left="-109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1176,00</w:t>
            </w:r>
          </w:p>
        </w:tc>
        <w:tc>
          <w:tcPr>
            <w:tcW w:w="850" w:type="dxa"/>
          </w:tcPr>
          <w:p w:rsidR="00FB3BD9" w:rsidRPr="007573CF" w:rsidRDefault="00FB3BD9" w:rsidP="0009782D">
            <w:pPr>
              <w:pStyle w:val="ConsPlusNormal"/>
              <w:ind w:left="-134"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237,30</w:t>
            </w:r>
          </w:p>
        </w:tc>
        <w:tc>
          <w:tcPr>
            <w:tcW w:w="851" w:type="dxa"/>
          </w:tcPr>
          <w:p w:rsidR="00FB3BD9" w:rsidRPr="007573CF" w:rsidRDefault="00FB3BD9" w:rsidP="000978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141,00</w:t>
            </w:r>
          </w:p>
        </w:tc>
        <w:tc>
          <w:tcPr>
            <w:tcW w:w="678" w:type="dxa"/>
          </w:tcPr>
          <w:p w:rsidR="00FB3BD9" w:rsidRPr="007573CF" w:rsidRDefault="00FB3BD9" w:rsidP="0009782D">
            <w:pPr>
              <w:pStyle w:val="ConsPlusNormal"/>
              <w:ind w:left="-134" w:righ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33,00</w:t>
            </w:r>
          </w:p>
        </w:tc>
        <w:tc>
          <w:tcPr>
            <w:tcW w:w="572" w:type="dxa"/>
          </w:tcPr>
          <w:p w:rsidR="00FB3BD9" w:rsidRPr="007573CF" w:rsidRDefault="00FB3BD9" w:rsidP="0009782D">
            <w:pPr>
              <w:pStyle w:val="ConsPlusNormal"/>
              <w:ind w:right="-112" w:hanging="10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1,90</w:t>
            </w:r>
          </w:p>
        </w:tc>
        <w:tc>
          <w:tcPr>
            <w:tcW w:w="855" w:type="dxa"/>
          </w:tcPr>
          <w:p w:rsidR="00FB3BD9" w:rsidRPr="007573CF" w:rsidRDefault="00FB3BD9" w:rsidP="0009782D">
            <w:pPr>
              <w:pStyle w:val="ConsPlusNormal"/>
              <w:ind w:right="-113" w:hanging="10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2754,00</w:t>
            </w:r>
          </w:p>
        </w:tc>
        <w:tc>
          <w:tcPr>
            <w:tcW w:w="705" w:type="dxa"/>
          </w:tcPr>
          <w:p w:rsidR="00FB3BD9" w:rsidRPr="007573CF" w:rsidRDefault="00FB3BD9" w:rsidP="0009782D">
            <w:pPr>
              <w:pStyle w:val="ConsPlusNormal"/>
              <w:ind w:left="-108" w:right="-3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278,70</w:t>
            </w:r>
          </w:p>
        </w:tc>
      </w:tr>
    </w:tbl>
    <w:p w:rsidR="00B97B43" w:rsidRDefault="00B97B43" w:rsidP="00AB1371">
      <w:pPr>
        <w:spacing w:after="0" w:line="240" w:lineRule="auto"/>
        <w:ind w:left="9923"/>
        <w:rPr>
          <w:rFonts w:ascii="Arial" w:eastAsia="Arial Unicode MS" w:hAnsi="Arial" w:cs="Arial"/>
        </w:rPr>
      </w:pPr>
    </w:p>
    <w:p w:rsidR="00796543" w:rsidRPr="005D034A" w:rsidRDefault="004745FD" w:rsidP="00AB1371">
      <w:pPr>
        <w:spacing w:after="0" w:line="240" w:lineRule="auto"/>
        <w:ind w:left="9923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</w:rPr>
        <w:t>Отдел бюджетно-финансовой политики админ</w:t>
      </w:r>
      <w:r>
        <w:rPr>
          <w:rFonts w:ascii="Arial" w:eastAsia="Arial Unicode MS" w:hAnsi="Arial" w:cs="Arial"/>
        </w:rPr>
        <w:t>и</w:t>
      </w:r>
      <w:r>
        <w:rPr>
          <w:rFonts w:ascii="Arial" w:eastAsia="Arial Unicode MS" w:hAnsi="Arial" w:cs="Arial"/>
        </w:rPr>
        <w:t>страции Светлоярского муниципального района Волгоградской области</w:t>
      </w:r>
      <w:r w:rsidR="00A01924">
        <w:rPr>
          <w:rFonts w:ascii="Arial" w:eastAsia="Arial Unicode MS" w:hAnsi="Arial" w:cs="Arial"/>
        </w:rPr>
        <w:t>»</w:t>
      </w:r>
      <w:r w:rsidR="00AB1371">
        <w:rPr>
          <w:rFonts w:ascii="Arial" w:eastAsia="Arial Unicode MS" w:hAnsi="Arial" w:cs="Arial"/>
        </w:rPr>
        <w:t xml:space="preserve"> </w:t>
      </w:r>
      <w:permEnd w:id="269448243"/>
    </w:p>
    <w:sectPr w:rsidR="00796543" w:rsidRPr="005D034A" w:rsidSect="00AB1371">
      <w:pgSz w:w="16838" w:h="11906" w:orient="landscape"/>
      <w:pgMar w:top="170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27" w:rsidRDefault="008F1C27" w:rsidP="00B87C1B">
      <w:pPr>
        <w:spacing w:after="0" w:line="240" w:lineRule="auto"/>
      </w:pPr>
      <w:r>
        <w:separator/>
      </w:r>
    </w:p>
  </w:endnote>
  <w:endnote w:type="continuationSeparator" w:id="0">
    <w:p w:rsidR="008F1C27" w:rsidRDefault="008F1C27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27" w:rsidRDefault="008F1C27" w:rsidP="00B87C1B">
      <w:pPr>
        <w:spacing w:after="0" w:line="240" w:lineRule="auto"/>
      </w:pPr>
      <w:r>
        <w:separator/>
      </w:r>
    </w:p>
  </w:footnote>
  <w:footnote w:type="continuationSeparator" w:id="0">
    <w:p w:rsidR="008F1C27" w:rsidRDefault="008F1C27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3577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745FD" w:rsidRDefault="004745FD">
        <w:pPr>
          <w:pStyle w:val="a9"/>
          <w:jc w:val="center"/>
        </w:pPr>
      </w:p>
      <w:p w:rsidR="004745FD" w:rsidRPr="00D250CF" w:rsidRDefault="004745FD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450907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745FD" w:rsidRDefault="004745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176"/>
    <w:multiLevelType w:val="hybridMultilevel"/>
    <w:tmpl w:val="6A106952"/>
    <w:lvl w:ilvl="0" w:tplc="E7622A92">
      <w:start w:val="1"/>
      <w:numFmt w:val="decimal"/>
      <w:lvlText w:val="%1."/>
      <w:lvlJc w:val="left"/>
      <w:pPr>
        <w:ind w:left="4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9412EF7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45C5BAA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273B71"/>
    <w:multiLevelType w:val="hybridMultilevel"/>
    <w:tmpl w:val="ED34AC8E"/>
    <w:lvl w:ilvl="0" w:tplc="BE1A7D9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DzzpuXiI5FWK/v06FVst7ldqQs=" w:salt="u5srOmAG3xiCKNEzdBZCEw=="/>
  <w:defaultTabStop w:val="113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6AC"/>
    <w:rsid w:val="0017394F"/>
    <w:rsid w:val="00177804"/>
    <w:rsid w:val="00180BBF"/>
    <w:rsid w:val="00181BB8"/>
    <w:rsid w:val="00182BDF"/>
    <w:rsid w:val="00184CAD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A4B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0A5C"/>
    <w:rsid w:val="001E2114"/>
    <w:rsid w:val="001E40C6"/>
    <w:rsid w:val="001E48D1"/>
    <w:rsid w:val="001E4A77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1311"/>
    <w:rsid w:val="002A2125"/>
    <w:rsid w:val="002A2A23"/>
    <w:rsid w:val="002A2B79"/>
    <w:rsid w:val="002A2F19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8DB"/>
    <w:rsid w:val="00443CAD"/>
    <w:rsid w:val="004450FC"/>
    <w:rsid w:val="00446706"/>
    <w:rsid w:val="0045009C"/>
    <w:rsid w:val="004507A9"/>
    <w:rsid w:val="00450907"/>
    <w:rsid w:val="00454F5B"/>
    <w:rsid w:val="004558E3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5FD"/>
    <w:rsid w:val="00474C91"/>
    <w:rsid w:val="0047545D"/>
    <w:rsid w:val="0047614F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C52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5DC6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E787C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108C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5BE"/>
    <w:rsid w:val="00636638"/>
    <w:rsid w:val="00640000"/>
    <w:rsid w:val="00641AB7"/>
    <w:rsid w:val="00641EA2"/>
    <w:rsid w:val="0064454E"/>
    <w:rsid w:val="006523AE"/>
    <w:rsid w:val="0065243D"/>
    <w:rsid w:val="00653604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18F7"/>
    <w:rsid w:val="00682A06"/>
    <w:rsid w:val="00682E47"/>
    <w:rsid w:val="006830C3"/>
    <w:rsid w:val="00686E4B"/>
    <w:rsid w:val="0068702E"/>
    <w:rsid w:val="00691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573CF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090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1C27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5657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9F4D4D"/>
    <w:rsid w:val="00A01246"/>
    <w:rsid w:val="00A0161E"/>
    <w:rsid w:val="00A01924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778AF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1371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97B43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124A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A13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3BD9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230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9F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uiPriority w:val="99"/>
    <w:rsid w:val="009F4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9F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uiPriority w:val="99"/>
    <w:rsid w:val="009F4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D6E4-65CE-4308-9DE4-EA08FFDC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615</Words>
  <Characters>3512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Абраменко ЕН ОБФП</cp:lastModifiedBy>
  <cp:revision>20</cp:revision>
  <cp:lastPrinted>2023-11-29T12:18:00Z</cp:lastPrinted>
  <dcterms:created xsi:type="dcterms:W3CDTF">2023-11-21T07:42:00Z</dcterms:created>
  <dcterms:modified xsi:type="dcterms:W3CDTF">2023-12-27T06:07:00Z</dcterms:modified>
</cp:coreProperties>
</file>