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3B6EE6" w:rsidRPr="00335795" w:rsidRDefault="00335795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 w:rsidR="00DE59E7">
        <w:rPr>
          <w:rFonts w:ascii="Arial" w:hAnsi="Arial"/>
          <w:sz w:val="26"/>
          <w:szCs w:val="26"/>
          <w:lang w:val="ru-RU"/>
        </w:rPr>
        <w:t xml:space="preserve">общества с ограниченной ответственностью «Газпром газораспределение Волгоград» </w:t>
      </w:r>
      <w:r w:rsidR="00D30D8C">
        <w:rPr>
          <w:rFonts w:ascii="Arial" w:hAnsi="Arial"/>
          <w:sz w:val="26"/>
          <w:szCs w:val="26"/>
          <w:lang w:val="ru-RU"/>
        </w:rPr>
        <w:t xml:space="preserve">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>размещения объект</w:t>
      </w:r>
      <w:r w:rsidR="00DE59E7">
        <w:rPr>
          <w:rFonts w:ascii="Arial" w:hAnsi="Arial"/>
          <w:b/>
          <w:bCs/>
          <w:sz w:val="26"/>
          <w:szCs w:val="26"/>
          <w:lang w:val="ru-RU"/>
        </w:rPr>
        <w:t xml:space="preserve">а: </w:t>
      </w:r>
      <w:proofErr w:type="gramStart"/>
      <w:r w:rsidR="00DE59E7">
        <w:rPr>
          <w:rFonts w:ascii="Arial" w:hAnsi="Arial"/>
          <w:b/>
          <w:bCs/>
          <w:sz w:val="26"/>
          <w:szCs w:val="26"/>
          <w:lang w:val="ru-RU"/>
        </w:rPr>
        <w:t>«Газопровод межпоселковый к с. Солянка, ст. Канальная, с. Червленое с отводом к с. Дубовый Овраг Светлоярского района Волгоградской области, назначение: инженерные сети.</w:t>
      </w:r>
      <w:proofErr w:type="gramEnd"/>
      <w:r w:rsidR="00DE59E7">
        <w:rPr>
          <w:rFonts w:ascii="Arial" w:hAnsi="Arial"/>
          <w:b/>
          <w:bCs/>
          <w:sz w:val="26"/>
          <w:szCs w:val="26"/>
          <w:lang w:val="ru-RU"/>
        </w:rPr>
        <w:t xml:space="preserve"> Протяженность: 42378,0 м. Инвентарный номер: 18:249:002:000993710</w:t>
      </w:r>
      <w:r w:rsidR="00E665B6">
        <w:rPr>
          <w:rFonts w:ascii="Arial" w:hAnsi="Arial"/>
          <w:b/>
          <w:bCs/>
          <w:sz w:val="26"/>
          <w:szCs w:val="26"/>
          <w:lang w:val="ru-RU"/>
        </w:rPr>
        <w:t>. Адрес (местоположение): Россия, Волгоградская обл., Светлоярский район»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B40B49" w:rsidRDefault="00D30D8C">
      <w:pPr>
        <w:ind w:firstLine="567"/>
        <w:jc w:val="both"/>
        <w:rPr>
          <w:rFonts w:ascii="Arial" w:hAnsi="Arial"/>
          <w:b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 w:rsidRPr="00B40B49">
        <w:rPr>
          <w:rFonts w:ascii="Arial" w:hAnsi="Arial"/>
          <w:b/>
          <w:sz w:val="26"/>
          <w:szCs w:val="26"/>
          <w:lang w:val="ru-RU"/>
        </w:rPr>
        <w:t>Волгоградская область, Светлоярский район</w:t>
      </w:r>
      <w:r w:rsidR="006B2858" w:rsidRPr="00B40B49">
        <w:rPr>
          <w:rFonts w:ascii="Arial" w:hAnsi="Arial"/>
          <w:b/>
          <w:sz w:val="26"/>
          <w:szCs w:val="26"/>
          <w:lang w:val="ru-RU"/>
        </w:rPr>
        <w:t>.</w:t>
      </w:r>
    </w:p>
    <w:p w:rsidR="00AB0F5C" w:rsidRDefault="00D30D8C" w:rsidP="00F77F10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34:26:000</w:t>
      </w:r>
      <w:r w:rsidR="00E665B6">
        <w:rPr>
          <w:rFonts w:ascii="Arial" w:hAnsi="Arial"/>
          <w:b/>
          <w:bCs/>
          <w:sz w:val="26"/>
          <w:szCs w:val="26"/>
          <w:lang w:val="ru-RU"/>
        </w:rPr>
        <w:t>000</w:t>
      </w:r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:</w:t>
      </w:r>
      <w:r w:rsidR="00E665B6">
        <w:rPr>
          <w:rFonts w:ascii="Arial" w:hAnsi="Arial"/>
          <w:b/>
          <w:bCs/>
          <w:sz w:val="26"/>
          <w:szCs w:val="26"/>
          <w:lang w:val="ru-RU"/>
        </w:rPr>
        <w:t>4279</w:t>
      </w:r>
      <w:r w:rsidR="00F77F1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34:26:000</w:t>
      </w:r>
      <w:r w:rsidR="00E665B6">
        <w:rPr>
          <w:rFonts w:ascii="Arial" w:hAnsi="Arial"/>
          <w:b/>
          <w:bCs/>
          <w:sz w:val="26"/>
          <w:szCs w:val="26"/>
          <w:lang w:val="ru-RU"/>
        </w:rPr>
        <w:t>000</w:t>
      </w:r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:</w:t>
      </w:r>
      <w:r w:rsidR="00E665B6">
        <w:rPr>
          <w:rFonts w:ascii="Arial" w:hAnsi="Arial"/>
          <w:b/>
          <w:bCs/>
          <w:sz w:val="26"/>
          <w:szCs w:val="26"/>
          <w:lang w:val="ru-RU"/>
        </w:rPr>
        <w:t>4257</w:t>
      </w:r>
      <w:r w:rsidR="00F77F1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34:26:000:</w:t>
      </w:r>
      <w:r w:rsidR="00E665B6">
        <w:rPr>
          <w:rFonts w:ascii="Arial" w:hAnsi="Arial"/>
          <w:b/>
          <w:bCs/>
          <w:sz w:val="26"/>
          <w:szCs w:val="26"/>
          <w:lang w:val="ru-RU"/>
        </w:rPr>
        <w:t>1521</w:t>
      </w:r>
      <w:r w:rsidR="00F77F1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34:26:000</w:t>
      </w:r>
      <w:r w:rsidR="00E665B6">
        <w:rPr>
          <w:rFonts w:ascii="Arial" w:hAnsi="Arial"/>
          <w:b/>
          <w:bCs/>
          <w:sz w:val="26"/>
          <w:szCs w:val="26"/>
          <w:lang w:val="ru-RU"/>
        </w:rPr>
        <w:t>000</w:t>
      </w:r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:</w:t>
      </w:r>
      <w:r w:rsidR="00E665B6">
        <w:rPr>
          <w:rFonts w:ascii="Arial" w:hAnsi="Arial"/>
          <w:b/>
          <w:bCs/>
          <w:sz w:val="26"/>
          <w:szCs w:val="26"/>
          <w:lang w:val="ru-RU"/>
        </w:rPr>
        <w:t>277</w:t>
      </w:r>
      <w:r w:rsidR="00F77F1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34:26:0</w:t>
      </w:r>
      <w:r w:rsidR="00E665B6">
        <w:rPr>
          <w:rFonts w:ascii="Arial" w:hAnsi="Arial"/>
          <w:b/>
          <w:bCs/>
          <w:sz w:val="26"/>
          <w:szCs w:val="26"/>
          <w:lang w:val="ru-RU"/>
        </w:rPr>
        <w:t>6</w:t>
      </w:r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0</w:t>
      </w:r>
      <w:r w:rsidR="00E665B6">
        <w:rPr>
          <w:rFonts w:ascii="Arial" w:hAnsi="Arial"/>
          <w:b/>
          <w:bCs/>
          <w:sz w:val="26"/>
          <w:szCs w:val="26"/>
          <w:lang w:val="ru-RU"/>
        </w:rPr>
        <w:t>3</w:t>
      </w:r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0</w:t>
      </w:r>
      <w:r w:rsidR="00E665B6">
        <w:rPr>
          <w:rFonts w:ascii="Arial" w:hAnsi="Arial"/>
          <w:b/>
          <w:bCs/>
          <w:sz w:val="26"/>
          <w:szCs w:val="26"/>
          <w:lang w:val="ru-RU"/>
        </w:rPr>
        <w:t>3</w:t>
      </w:r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:1</w:t>
      </w:r>
      <w:r w:rsidR="00E665B6">
        <w:rPr>
          <w:rFonts w:ascii="Arial" w:hAnsi="Arial"/>
          <w:b/>
          <w:bCs/>
          <w:sz w:val="26"/>
          <w:szCs w:val="26"/>
          <w:lang w:val="ru-RU"/>
        </w:rPr>
        <w:t>63</w:t>
      </w:r>
      <w:r w:rsidR="00F77F1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34:26:0</w:t>
      </w:r>
      <w:r w:rsidR="00E665B6">
        <w:rPr>
          <w:rFonts w:ascii="Arial" w:hAnsi="Arial"/>
          <w:b/>
          <w:bCs/>
          <w:sz w:val="26"/>
          <w:szCs w:val="26"/>
          <w:lang w:val="ru-RU"/>
        </w:rPr>
        <w:t>6</w:t>
      </w:r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030</w:t>
      </w:r>
      <w:r w:rsidR="00E665B6">
        <w:rPr>
          <w:rFonts w:ascii="Arial" w:hAnsi="Arial"/>
          <w:b/>
          <w:bCs/>
          <w:sz w:val="26"/>
          <w:szCs w:val="26"/>
          <w:lang w:val="ru-RU"/>
        </w:rPr>
        <w:t>3</w:t>
      </w:r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:</w:t>
      </w:r>
      <w:r w:rsidR="00E665B6">
        <w:rPr>
          <w:rFonts w:ascii="Arial" w:hAnsi="Arial"/>
          <w:b/>
          <w:bCs/>
          <w:sz w:val="26"/>
          <w:szCs w:val="26"/>
          <w:lang w:val="ru-RU"/>
        </w:rPr>
        <w:t>453</w:t>
      </w:r>
      <w:r w:rsidR="00F77F1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34:26:0</w:t>
      </w:r>
      <w:r w:rsidR="00E665B6">
        <w:rPr>
          <w:rFonts w:ascii="Arial" w:hAnsi="Arial"/>
          <w:b/>
          <w:bCs/>
          <w:sz w:val="26"/>
          <w:szCs w:val="26"/>
          <w:lang w:val="ru-RU"/>
        </w:rPr>
        <w:t>6</w:t>
      </w:r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030</w:t>
      </w:r>
      <w:r w:rsidR="00E665B6">
        <w:rPr>
          <w:rFonts w:ascii="Arial" w:hAnsi="Arial"/>
          <w:b/>
          <w:bCs/>
          <w:sz w:val="26"/>
          <w:szCs w:val="26"/>
          <w:lang w:val="ru-RU"/>
        </w:rPr>
        <w:t>3</w:t>
      </w:r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:</w:t>
      </w:r>
      <w:r w:rsidR="00E665B6">
        <w:rPr>
          <w:rFonts w:ascii="Arial" w:hAnsi="Arial"/>
          <w:b/>
          <w:bCs/>
          <w:sz w:val="26"/>
          <w:szCs w:val="26"/>
          <w:lang w:val="ru-RU"/>
        </w:rPr>
        <w:t>476</w:t>
      </w:r>
      <w:r w:rsidR="00AB0F5C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B40B49" w:rsidRDefault="00FF567F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 </w:t>
      </w:r>
    </w:p>
    <w:p w:rsidR="00F77F10" w:rsidRDefault="00F77F10" w:rsidP="00F77F10">
      <w:pPr>
        <w:widowControl w:val="0"/>
        <w:overflowPunct w:val="0"/>
        <w:autoSpaceDE w:val="0"/>
        <w:autoSpaceDN w:val="0"/>
        <w:adjustRightInd w:val="0"/>
        <w:spacing w:before="0" w:after="0"/>
        <w:ind w:firstLine="567"/>
        <w:contextualSpacing/>
        <w:jc w:val="both"/>
        <w:textAlignment w:val="baseline"/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</w:pPr>
      <w:r w:rsidRPr="00F77F10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Генеральный план Кировского сельского поселения</w:t>
      </w:r>
      <w:r w:rsidRPr="00F77F10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</w:t>
      </w:r>
      <w:r w:rsidRPr="00F77F10">
        <w:rPr>
          <w:rFonts w:ascii="Arial" w:eastAsia="Times New Roman" w:hAnsi="Arial" w:cs="Arial"/>
          <w:iCs/>
          <w:kern w:val="0"/>
          <w:sz w:val="26"/>
          <w:szCs w:val="26"/>
          <w:lang w:val="ru-RU" w:eastAsia="ru-RU" w:bidi="ar-SA"/>
        </w:rPr>
        <w:t xml:space="preserve"> </w:t>
      </w:r>
      <w:proofErr w:type="spellStart"/>
      <w:r w:rsidRPr="00F77F10">
        <w:rPr>
          <w:rFonts w:ascii="Arial" w:eastAsia="Times New Roman" w:hAnsi="Arial" w:cs="Arial"/>
          <w:iCs/>
          <w:kern w:val="0"/>
          <w:sz w:val="26"/>
          <w:szCs w:val="26"/>
          <w:lang w:val="ru-RU" w:eastAsia="ru-RU" w:bidi="ar-SA"/>
        </w:rPr>
        <w:t>Светлоярской</w:t>
      </w:r>
      <w:proofErr w:type="spellEnd"/>
      <w:r w:rsidRPr="00F77F10">
        <w:rPr>
          <w:rFonts w:ascii="Arial" w:eastAsia="Times New Roman" w:hAnsi="Arial" w:cs="Arial"/>
          <w:iCs/>
          <w:kern w:val="0"/>
          <w:sz w:val="26"/>
          <w:szCs w:val="26"/>
          <w:lang w:val="ru-RU" w:eastAsia="ru-RU" w:bidi="ar-SA"/>
        </w:rPr>
        <w:t xml:space="preserve"> районной Думы Волгоградской области</w:t>
      </w:r>
      <w:r w:rsidRPr="00F77F10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от 27.10.2016 г. №33/188.</w:t>
      </w:r>
      <w:r w:rsidRPr="00F77F10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 xml:space="preserve"> </w:t>
      </w:r>
    </w:p>
    <w:p w:rsidR="00962302" w:rsidRPr="00F77F10" w:rsidRDefault="00962302" w:rsidP="00F77F10">
      <w:pPr>
        <w:widowControl w:val="0"/>
        <w:overflowPunct w:val="0"/>
        <w:autoSpaceDE w:val="0"/>
        <w:autoSpaceDN w:val="0"/>
        <w:adjustRightInd w:val="0"/>
        <w:spacing w:before="0" w:after="0"/>
        <w:ind w:firstLine="567"/>
        <w:contextualSpacing/>
        <w:jc w:val="both"/>
        <w:textAlignment w:val="baseline"/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</w:pPr>
      <w:r w:rsidRPr="00962302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 xml:space="preserve">Генеральный план </w:t>
      </w:r>
      <w:proofErr w:type="spellStart"/>
      <w:r w:rsidRPr="00962302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Большечапурниковского</w:t>
      </w:r>
      <w:proofErr w:type="spellEnd"/>
      <w:r w:rsidRPr="00962302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 xml:space="preserve"> сельского поселения</w:t>
      </w:r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 </w:t>
      </w:r>
      <w:proofErr w:type="spellStart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>Большечапурниковского</w:t>
      </w:r>
      <w:proofErr w:type="spellEnd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сельского совета </w:t>
      </w:r>
      <w:proofErr w:type="spellStart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>Большечапурниковского</w:t>
      </w:r>
      <w:proofErr w:type="spellEnd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сельского поселения Светлоярского муниципального района Волгоградской области от 20.12.2013г. №57/196. Решением </w:t>
      </w:r>
      <w:proofErr w:type="spellStart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>Большечапурниковского</w:t>
      </w:r>
      <w:proofErr w:type="spellEnd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сельского совета </w:t>
      </w:r>
      <w:proofErr w:type="spellStart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>Большечапурниковского</w:t>
      </w:r>
      <w:proofErr w:type="spellEnd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сельского поселения Светлоярского муниципального района Волгоградской области от 30.12.2015 №22/66 в генеральный план </w:t>
      </w:r>
      <w:proofErr w:type="spellStart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>Большечапурниковского</w:t>
      </w:r>
      <w:proofErr w:type="spellEnd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сельского поселения Светлоярского муниципального района Волгоградской области внесены изменения.</w:t>
      </w:r>
    </w:p>
    <w:p w:rsidR="004428D7" w:rsidRDefault="004428D7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</w:t>
      </w:r>
      <w:r>
        <w:rPr>
          <w:rFonts w:ascii="Arial" w:hAnsi="Arial"/>
          <w:sz w:val="26"/>
          <w:szCs w:val="26"/>
          <w:lang w:val="ru-RU"/>
        </w:rPr>
        <w:lastRenderedPageBreak/>
        <w:t xml:space="preserve">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E665B6" w:rsidRPr="00E665B6">
        <w:rPr>
          <w:rFonts w:ascii="Arial" w:hAnsi="Arial"/>
          <w:b/>
          <w:bCs/>
          <w:sz w:val="26"/>
          <w:szCs w:val="26"/>
          <w:lang w:val="ru-RU"/>
        </w:rPr>
        <w:t>общества с ограниченной ответственностью «Газпром газораспределение Волгоград»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, тел. 8 (8442) 4</w:t>
      </w:r>
      <w:r w:rsidR="00333A46">
        <w:rPr>
          <w:rFonts w:ascii="Arial" w:hAnsi="Arial"/>
          <w:b/>
          <w:bCs/>
          <w:sz w:val="26"/>
          <w:szCs w:val="26"/>
          <w:lang w:val="ru-RU"/>
        </w:rPr>
        <w:t>9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-</w:t>
      </w:r>
      <w:r w:rsidR="00333A46">
        <w:rPr>
          <w:rFonts w:ascii="Arial" w:hAnsi="Arial"/>
          <w:b/>
          <w:bCs/>
          <w:sz w:val="26"/>
          <w:szCs w:val="26"/>
          <w:lang w:val="ru-RU"/>
        </w:rPr>
        <w:t>29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-</w:t>
      </w:r>
      <w:r w:rsidR="00333A46">
        <w:rPr>
          <w:rFonts w:ascii="Arial" w:hAnsi="Arial"/>
          <w:b/>
          <w:bCs/>
          <w:sz w:val="26"/>
          <w:szCs w:val="26"/>
          <w:lang w:val="ru-RU"/>
        </w:rPr>
        <w:t>7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CF55E0" w:rsidP="00CF55E0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 w:rsidRPr="00CF55E0"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proofErr w:type="gramStart"/>
      <w:r w:rsidRPr="00CF55E0"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 w:rsidRPr="00CF55E0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официальном сайте Светлоярского муниципального района Волгоградской области www.svyar.ru, на официальном сайте Кировского сельского поселения Светлоярского муниципального района Волгоградской области www.kirovoadmin.ru, на официальном сайте </w:t>
      </w:r>
      <w:proofErr w:type="spellStart"/>
      <w:r>
        <w:rPr>
          <w:rFonts w:ascii="Arial" w:hAnsi="Arial"/>
          <w:sz w:val="26"/>
          <w:szCs w:val="26"/>
          <w:lang w:val="ru-RU"/>
        </w:rPr>
        <w:t>Большечапурниковского</w:t>
      </w:r>
      <w:proofErr w:type="spellEnd"/>
      <w:r>
        <w:rPr>
          <w:rFonts w:ascii="Arial" w:hAnsi="Arial"/>
          <w:sz w:val="26"/>
          <w:szCs w:val="26"/>
          <w:lang w:val="ru-RU"/>
        </w:rPr>
        <w:t xml:space="preserve"> </w:t>
      </w:r>
      <w:r w:rsidRPr="00CF55E0">
        <w:rPr>
          <w:rFonts w:ascii="Arial" w:hAnsi="Arial"/>
          <w:sz w:val="26"/>
          <w:szCs w:val="26"/>
          <w:lang w:val="ru-RU"/>
        </w:rPr>
        <w:t xml:space="preserve">сельского поселения Светлоярского муниципального района Волгоградской области </w:t>
      </w:r>
      <w:r>
        <w:rPr>
          <w:rFonts w:ascii="Arial" w:hAnsi="Arial"/>
          <w:sz w:val="26"/>
          <w:szCs w:val="26"/>
        </w:rPr>
        <w:t>www</w:t>
      </w:r>
      <w:r w:rsidRPr="00CF55E0">
        <w:rPr>
          <w:rFonts w:ascii="Arial" w:hAnsi="Arial"/>
          <w:sz w:val="26"/>
          <w:szCs w:val="26"/>
          <w:lang w:val="ru-RU"/>
        </w:rPr>
        <w:t xml:space="preserve">.bolshiechapurniki.ru, </w:t>
      </w:r>
      <w:bookmarkStart w:id="0" w:name="_GoBack"/>
      <w:bookmarkEnd w:id="0"/>
      <w:r w:rsidRPr="00CF55E0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013BD1"/>
    <w:rsid w:val="000B79BD"/>
    <w:rsid w:val="000D08A0"/>
    <w:rsid w:val="00234D3F"/>
    <w:rsid w:val="00252213"/>
    <w:rsid w:val="00324E7F"/>
    <w:rsid w:val="00333A46"/>
    <w:rsid w:val="00335795"/>
    <w:rsid w:val="003B6EE6"/>
    <w:rsid w:val="004428D7"/>
    <w:rsid w:val="006B2858"/>
    <w:rsid w:val="00785251"/>
    <w:rsid w:val="00805FEE"/>
    <w:rsid w:val="008E72CA"/>
    <w:rsid w:val="00942D7E"/>
    <w:rsid w:val="00962302"/>
    <w:rsid w:val="00970C19"/>
    <w:rsid w:val="00AB0F5C"/>
    <w:rsid w:val="00B25F18"/>
    <w:rsid w:val="00B40B49"/>
    <w:rsid w:val="00B6563E"/>
    <w:rsid w:val="00CB5316"/>
    <w:rsid w:val="00CF55E0"/>
    <w:rsid w:val="00D30D8C"/>
    <w:rsid w:val="00DC13B3"/>
    <w:rsid w:val="00DE59E7"/>
    <w:rsid w:val="00E665B6"/>
    <w:rsid w:val="00F77F10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user</cp:lastModifiedBy>
  <cp:revision>6</cp:revision>
  <cp:lastPrinted>2023-04-12T05:54:00Z</cp:lastPrinted>
  <dcterms:created xsi:type="dcterms:W3CDTF">2023-04-11T13:35:00Z</dcterms:created>
  <dcterms:modified xsi:type="dcterms:W3CDTF">2023-04-12T06:04:00Z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