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FCA" w:rsidRPr="005605D4" w:rsidTr="000B7FCA">
        <w:tc>
          <w:tcPr>
            <w:tcW w:w="9345" w:type="dxa"/>
          </w:tcPr>
          <w:p w:rsidR="00F7447D" w:rsidRPr="005605D4" w:rsidRDefault="00CC646E" w:rsidP="005605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работодателя</w:t>
            </w:r>
            <w:r w:rsidR="001E784C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высвобождении работников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ликвидации, со</w:t>
            </w:r>
            <w:r w:rsidR="00E5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кращении численности или штата,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введении режима неполного рабочего дня (смены) и (или) неполной рабочей недели, объявлении простоя, проведении процедур несостоятельности (банкротства))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Трудовым кодексом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(ТК РФ) и</w:t>
            </w:r>
            <w:r w:rsidR="00EF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от 19.04.1991 № 1032-1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занятости населения в Российской Федерации» (</w:t>
            </w:r>
            <w:r w:rsidR="00857CD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о занятости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01724A" w:rsidRPr="00551FAB" w:rsidRDefault="00857CD7" w:rsidP="00EF27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сокращении численности или штата работников организации,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аботодатель обязан </w:t>
            </w:r>
            <w:r w:rsidR="00D109E8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E784C" w:rsidRPr="00551FAB">
              <w:rPr>
                <w:rFonts w:ascii="Times New Roman" w:hAnsi="Times New Roman" w:cs="Times New Roman"/>
                <w:sz w:val="24"/>
                <w:szCs w:val="24"/>
              </w:rPr>
              <w:t>уведомить:</w:t>
            </w:r>
          </w:p>
          <w:p w:rsidR="008C4775" w:rsidRPr="00551FAB" w:rsidRDefault="001E784C" w:rsidP="005605D4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выборный орган первичной профсоюзной организации</w:t>
            </w:r>
            <w:r w:rsidR="008278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775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месяца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проведения 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сокращения численности или штата работников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ТК РФ)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CD7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массового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работников - 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="00AE02EE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соответствующих мероприятий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</w:t>
            </w:r>
            <w:r w:rsidR="00F7447D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ТК РФ, п. 3 ст. 21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о занятости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24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24A" w:rsidRPr="00551FAB" w:rsidRDefault="0001724A" w:rsidP="005605D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 является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членом профсоюза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направить в выборный профсоюзный орган проект приказа, а также копии документов, являющихся основанием для принятия решения 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возможном расторжении трудового договора с работником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(ст. 373 ТК РФ).</w:t>
            </w:r>
          </w:p>
          <w:p w:rsidR="00DD644A" w:rsidRPr="004218E6" w:rsidRDefault="004218E6" w:rsidP="004218E6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</w:t>
            </w:r>
            <w:r w:rsidR="001E784C"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 службы занятости: </w:t>
            </w:r>
          </w:p>
          <w:p w:rsidR="00DD644A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организация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два месяца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1FAB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</w:t>
            </w:r>
            <w:r w:rsidR="008C4775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две недели</w:t>
            </w:r>
            <w:r w:rsidR="00551FAB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D644A" w:rsidRPr="00551FAB" w:rsidRDefault="001E784C" w:rsidP="00551FAB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прекращения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сокращения численности или штата работников</w:t>
            </w:r>
            <w:r w:rsid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массового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работников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4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службы занятости уведомляется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позднее, чем за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месяца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проведения соответствующих мероприятий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2 ст. 25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 о занятости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FAB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4218E6" w:rsidRDefault="008278E9" w:rsidP="004218E6">
            <w:pPr>
              <w:pStyle w:val="a3"/>
              <w:numPr>
                <w:ilvl w:val="0"/>
                <w:numId w:val="16"/>
              </w:numPr>
              <w:pBdr>
                <w:bottom w:val="single" w:sz="12" w:space="1" w:color="auto"/>
              </w:pBd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работников:</w:t>
            </w:r>
          </w:p>
          <w:p w:rsidR="00DD644A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FAB" w:rsidRP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персонально под роспись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менее чем за </w:t>
            </w:r>
            <w:r w:rsidR="000530DD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месяца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(ч. 2 ст.180 ТК РФ);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 сроки, предусмотренные трудовым договоров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2 ст. 307 ТК РФ).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4A" w:rsidRPr="00551FAB" w:rsidRDefault="001B2AA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численности или штата работников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аботодатель 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предложить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каждому подпадающему под сокращение работнику другую имеющуюся работу (вакантную должность) (ч.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180 ТК РФ).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месяцев по мере появления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работникам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появившиеся вакансии.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775" w:rsidRPr="005605D4" w:rsidRDefault="001B2AA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- организация с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DE3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письменного согласия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расторгнуть трудовой договор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истечения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месяцев </w:t>
            </w:r>
            <w:proofErr w:type="gramStart"/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уведомления</w:t>
            </w:r>
            <w:proofErr w:type="gramEnd"/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(ч. 3 ст.180 ТК РФ).</w:t>
            </w:r>
          </w:p>
          <w:p w:rsidR="00F05A28" w:rsidRPr="005605D4" w:rsidRDefault="00F05A28" w:rsidP="00A17A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массового высвобождения</w:t>
            </w:r>
            <w:r w:rsidR="00DD644A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85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численностью работающих 15 и более человек;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или штата работников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количестве:</w:t>
            </w:r>
          </w:p>
          <w:p w:rsidR="001E784C" w:rsidRPr="005605D4" w:rsidRDefault="001E784C" w:rsidP="005605D4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и более человек в течение 30 календарных дней;</w:t>
            </w:r>
          </w:p>
          <w:p w:rsid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и более человек в течение 60 календарных дней;</w:t>
            </w:r>
          </w:p>
          <w:p w:rsidR="00984F53" w:rsidRP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и более человек в течение 90 календарных дней</w:t>
            </w:r>
            <w:r w:rsidR="00DD644A"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DD644A" w:rsidRPr="005605D4" w:rsidRDefault="00984F53" w:rsidP="000D3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(*)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критерии согласно </w:t>
            </w:r>
            <w:r w:rsidR="00EF27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постановлению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Правительства РФ от 05.02.1993 №  99 «Об организации работы по содействию занятости в условиях массового высвобождения».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ритерии массового увольнения могут быть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также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определены в отраслевых и (или) территориальных соглашениях (ч. 1 ст. 82 ТК РФ).</w:t>
            </w:r>
          </w:p>
          <w:p w:rsidR="001E784C" w:rsidRPr="005605D4" w:rsidRDefault="00AE6136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не вправе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увольнять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штата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AD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ст. 261 ТК Р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трех лет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воспитывающ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малолетнего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ребенка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до 14 лет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ребенка-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инвалида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возрасте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 лет)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воспитывающи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детей без матери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6136" w:rsidRPr="005605D4" w:rsidRDefault="00AE6136" w:rsidP="005605D4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(иного законного представителя ребенка), являющегося единственным кормильцем ребенка-инвалида в 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отношениях.</w:t>
            </w:r>
          </w:p>
          <w:p w:rsidR="00D47923" w:rsidRPr="005605D4" w:rsidRDefault="001B2AA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- организация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при сокращении численности или штата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оставление на работе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более высокой производительностью труда и квалификацией 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>(ст. 179 ТК РФ)</w:t>
            </w:r>
          </w:p>
          <w:p w:rsidR="001E784C" w:rsidRPr="005605D4" w:rsidRDefault="009548E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уволить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работника по инициативе работодателя (за исключением ликвидации организации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прекращения деятельности ИП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) в период его временной нетрудоспособности и в период пребывания в отпуске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8E9"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74" w:rsidRDefault="001E784C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расторжении трудового договора в связи с ликвидацией организации (п. 1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ст. 81 ТК РФ) либо сокращением численности или штата работников организации (п. 2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 увольняемому работнику выплачивается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127,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>178 ТК РФ)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за то время, которое он успел отработать до даты увольнения;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компенсация за неиспользованный отпуск;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выходное пособие в размере среднего месячного заработка;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случае, если длительность трудоустройства на новую работу превышает один месяц, работнику выплачивается средний месячный заработок за второй месяц со дня увольнения или его часть пропорционально периоду трудоустройства, приходящемуся на этот месяц.</w:t>
            </w:r>
          </w:p>
          <w:p w:rsidR="00790774" w:rsidRPr="007C0AB8" w:rsidRDefault="00790774" w:rsidP="007907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выплатой среднего месячного заработка за период трудоустройства 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вправе обратиться в письменной форме к работодателю в срок не позднее 15 рабочих дней после окончания второго месяца со дня увольнения. При обращении за указанными выплатами работодатель должен произвести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позднее 15 календарных дней со дня обращения (ч. 4 ст. 178 ТК РФ)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78E9" w:rsidRPr="00551FAB" w:rsidRDefault="008278E9" w:rsidP="008278E9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>При прекращении деятельности ИП, сокращении численности или штата работников ИП выплачивается выходное пособие и другие компенсацион</w:t>
            </w:r>
            <w:r w:rsidR="005D1D1B">
              <w:rPr>
                <w:rFonts w:ascii="Times New Roman" w:hAnsi="Times New Roman" w:cs="Times New Roman"/>
                <w:sz w:val="24"/>
                <w:szCs w:val="24"/>
              </w:rPr>
              <w:t>ные выплаты</w:t>
            </w: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 xml:space="preserve"> в  случаях и в размере, определенном трудовым договором с работником (ч. 2 ст. 307 ТК РФ).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4D" w:rsidRPr="005605D4" w:rsidRDefault="0006204D" w:rsidP="0006204D">
            <w:pPr>
              <w:pBdr>
                <w:bottom w:val="single" w:sz="12" w:space="1" w:color="auto"/>
              </w:pBd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04D" w:rsidRPr="005605D4" w:rsidRDefault="00A17A93" w:rsidP="005605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может провести следующие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мероприятия: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опережающего обучения работников;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высвобождаемых работников за счет внутрипроизводственных перемещений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приостановление найма новых работников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использования работы по совместительству;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работников на режим неполного рабочего времени;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работникам отпуска без сохранения заработной платы с их согласия по письменному заявлению;</w:t>
            </w:r>
          </w:p>
          <w:p w:rsidR="004218E6" w:rsidRPr="000D360D" w:rsidRDefault="0006204D" w:rsidP="004218E6">
            <w:pPr>
              <w:pStyle w:val="a3"/>
              <w:numPr>
                <w:ilvl w:val="0"/>
                <w:numId w:val="12"/>
              </w:numPr>
              <w:pBdr>
                <w:bottom w:val="single" w:sz="12" w:space="1" w:color="auto"/>
              </w:pBd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уход на пенсию работников пенсионного возраста.</w:t>
            </w:r>
          </w:p>
          <w:p w:rsidR="003932D9" w:rsidRPr="005605D4" w:rsidRDefault="009D7A11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 можете снизить негативные последствия для высвобождаемых работников, обратившись в Центр занятости населения.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готов направить к Вам специалистов или организовать консультационный пункт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на территории организации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для предоставления следующей помощи: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казание юридической консультации по вопросам, связанным с трудовым законодательством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одбор временных или постоянных вариантов работы;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о предоставляемых органами службы занятости населения субъектов РФ государственных 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услугах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в области содействия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3932D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>Предоставление информационных буклетов и памяток.</w:t>
            </w:r>
          </w:p>
          <w:p w:rsidR="00005397" w:rsidRDefault="00005397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2D9" w:rsidRPr="005605D4" w:rsidRDefault="003932D9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 xml:space="preserve">Вы можете обратиться в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Pr="005605D4">
              <w:rPr>
                <w:rFonts w:ascii="Times New Roman" w:hAnsi="Times New Roman"/>
                <w:sz w:val="24"/>
                <w:szCs w:val="24"/>
              </w:rPr>
              <w:t xml:space="preserve"> следующими способами:</w:t>
            </w:r>
          </w:p>
          <w:p w:rsidR="000D360D" w:rsidRDefault="003932D9" w:rsidP="000D360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0D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0D360D" w:rsidRPr="000D36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D360D">
              <w:rPr>
                <w:rFonts w:ascii="Times New Roman" w:hAnsi="Times New Roman"/>
                <w:sz w:val="24"/>
                <w:szCs w:val="24"/>
              </w:rPr>
              <w:t xml:space="preserve">404171, Волгоградская область, </w:t>
            </w:r>
            <w:r w:rsidR="000D360D" w:rsidRPr="000D360D">
              <w:rPr>
                <w:rFonts w:ascii="Times New Roman" w:hAnsi="Times New Roman"/>
                <w:sz w:val="24"/>
                <w:szCs w:val="24"/>
              </w:rPr>
              <w:t xml:space="preserve">р.п.Светлый Яр, </w:t>
            </w:r>
            <w:proofErr w:type="spellStart"/>
            <w:r w:rsidR="000D360D" w:rsidRPr="000D36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D360D" w:rsidRPr="000D36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D360D" w:rsidRPr="000D360D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 w:rsidR="000D360D" w:rsidRPr="000D360D">
              <w:rPr>
                <w:rFonts w:ascii="Times New Roman" w:hAnsi="Times New Roman"/>
                <w:sz w:val="24"/>
                <w:szCs w:val="24"/>
              </w:rPr>
              <w:t>, д. 13</w:t>
            </w:r>
            <w:r w:rsidR="000D36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60D" w:rsidRPr="000D360D" w:rsidRDefault="003932D9" w:rsidP="000D360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0D">
              <w:rPr>
                <w:rFonts w:ascii="Times New Roman" w:hAnsi="Times New Roman"/>
                <w:sz w:val="24"/>
                <w:szCs w:val="24"/>
              </w:rPr>
              <w:t>по телефону</w:t>
            </w:r>
            <w:r w:rsidR="000D360D" w:rsidRPr="000D360D">
              <w:rPr>
                <w:rFonts w:ascii="Times New Roman" w:hAnsi="Times New Roman"/>
                <w:sz w:val="24"/>
                <w:szCs w:val="24"/>
              </w:rPr>
              <w:t xml:space="preserve"> 8-902-360-07-72.</w:t>
            </w:r>
          </w:p>
          <w:p w:rsidR="0006204D" w:rsidRPr="00005397" w:rsidRDefault="0006204D" w:rsidP="000D360D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7FCA" w:rsidRPr="005605D4" w:rsidRDefault="000B7FCA" w:rsidP="00494DE3">
      <w:pPr>
        <w:jc w:val="both"/>
        <w:rPr>
          <w:sz w:val="24"/>
          <w:szCs w:val="24"/>
        </w:rPr>
      </w:pPr>
    </w:p>
    <w:sectPr w:rsidR="000B7FCA" w:rsidRPr="005605D4" w:rsidSect="00C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2F3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B2303"/>
    <w:multiLevelType w:val="multilevel"/>
    <w:tmpl w:val="CD723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34ED9"/>
    <w:multiLevelType w:val="multilevel"/>
    <w:tmpl w:val="5C5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A2871"/>
    <w:multiLevelType w:val="hybridMultilevel"/>
    <w:tmpl w:val="1ADA7548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D68"/>
    <w:multiLevelType w:val="hybridMultilevel"/>
    <w:tmpl w:val="C1FEA344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8DA"/>
    <w:multiLevelType w:val="hybridMultilevel"/>
    <w:tmpl w:val="C9DA6D88"/>
    <w:lvl w:ilvl="0" w:tplc="C8C6D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E49"/>
    <w:multiLevelType w:val="multilevel"/>
    <w:tmpl w:val="2312B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B306E"/>
    <w:multiLevelType w:val="multilevel"/>
    <w:tmpl w:val="5BB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E2F"/>
    <w:multiLevelType w:val="hybridMultilevel"/>
    <w:tmpl w:val="646C16C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8A01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27A9"/>
    <w:multiLevelType w:val="hybridMultilevel"/>
    <w:tmpl w:val="7870D646"/>
    <w:lvl w:ilvl="0" w:tplc="FC8A01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93C8A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3204B"/>
    <w:multiLevelType w:val="hybridMultilevel"/>
    <w:tmpl w:val="105C1960"/>
    <w:lvl w:ilvl="0" w:tplc="ACDCED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F527CFE"/>
    <w:multiLevelType w:val="hybridMultilevel"/>
    <w:tmpl w:val="C23E428C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06B16"/>
    <w:multiLevelType w:val="multilevel"/>
    <w:tmpl w:val="F74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84"/>
    <w:rsid w:val="00005397"/>
    <w:rsid w:val="0001724A"/>
    <w:rsid w:val="00030416"/>
    <w:rsid w:val="000530DD"/>
    <w:rsid w:val="0006204D"/>
    <w:rsid w:val="000B7FCA"/>
    <w:rsid w:val="000D360D"/>
    <w:rsid w:val="00185538"/>
    <w:rsid w:val="001B2AA9"/>
    <w:rsid w:val="001E699C"/>
    <w:rsid w:val="001E784C"/>
    <w:rsid w:val="00291FBE"/>
    <w:rsid w:val="00297E18"/>
    <w:rsid w:val="00301621"/>
    <w:rsid w:val="003932D9"/>
    <w:rsid w:val="004218E6"/>
    <w:rsid w:val="00467602"/>
    <w:rsid w:val="00494DE3"/>
    <w:rsid w:val="00533669"/>
    <w:rsid w:val="0053526E"/>
    <w:rsid w:val="00551FAB"/>
    <w:rsid w:val="005605D4"/>
    <w:rsid w:val="005D1D1B"/>
    <w:rsid w:val="00682112"/>
    <w:rsid w:val="00781ECB"/>
    <w:rsid w:val="00790774"/>
    <w:rsid w:val="00790BDF"/>
    <w:rsid w:val="007C0AB8"/>
    <w:rsid w:val="00810AAC"/>
    <w:rsid w:val="008278E9"/>
    <w:rsid w:val="00857CD7"/>
    <w:rsid w:val="008629B1"/>
    <w:rsid w:val="008C4775"/>
    <w:rsid w:val="008E3F91"/>
    <w:rsid w:val="009242D2"/>
    <w:rsid w:val="009548E9"/>
    <w:rsid w:val="00984F53"/>
    <w:rsid w:val="009C7397"/>
    <w:rsid w:val="009D7A11"/>
    <w:rsid w:val="00A02DB7"/>
    <w:rsid w:val="00A17A93"/>
    <w:rsid w:val="00AC136C"/>
    <w:rsid w:val="00AD0C1C"/>
    <w:rsid w:val="00AE02EE"/>
    <w:rsid w:val="00AE6136"/>
    <w:rsid w:val="00B03BAF"/>
    <w:rsid w:val="00B073AD"/>
    <w:rsid w:val="00BC50C0"/>
    <w:rsid w:val="00BD11D1"/>
    <w:rsid w:val="00C32E94"/>
    <w:rsid w:val="00CB0540"/>
    <w:rsid w:val="00CC646E"/>
    <w:rsid w:val="00CD1189"/>
    <w:rsid w:val="00D109E8"/>
    <w:rsid w:val="00D1365A"/>
    <w:rsid w:val="00D150DD"/>
    <w:rsid w:val="00D2433C"/>
    <w:rsid w:val="00D47923"/>
    <w:rsid w:val="00DB2D85"/>
    <w:rsid w:val="00DD644A"/>
    <w:rsid w:val="00DE7F07"/>
    <w:rsid w:val="00E000D7"/>
    <w:rsid w:val="00E574CF"/>
    <w:rsid w:val="00E61184"/>
    <w:rsid w:val="00ED606C"/>
    <w:rsid w:val="00EF27B1"/>
    <w:rsid w:val="00F05A28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Михалева</dc:creator>
  <cp:lastModifiedBy>m_marinin</cp:lastModifiedBy>
  <cp:revision>3</cp:revision>
  <dcterms:created xsi:type="dcterms:W3CDTF">2022-04-27T13:16:00Z</dcterms:created>
  <dcterms:modified xsi:type="dcterms:W3CDTF">2022-04-27T18:08:00Z</dcterms:modified>
</cp:coreProperties>
</file>